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FC636" w14:textId="77777777" w:rsidR="002319E4" w:rsidRPr="00223F95" w:rsidRDefault="002319E4" w:rsidP="002319E4">
      <w:pPr>
        <w:jc w:val="center"/>
        <w:outlineLvl w:val="1"/>
        <w:rPr>
          <w:rFonts w:cs="Arial"/>
          <w:b/>
          <w:bCs/>
          <w:sz w:val="28"/>
          <w:szCs w:val="28"/>
          <w:lang w:val="es-CR" w:eastAsia="es-CR"/>
        </w:rPr>
      </w:pPr>
      <w:bookmarkStart w:id="0" w:name="_Toc204846341"/>
      <w:r w:rsidRPr="00223F95">
        <w:rPr>
          <w:rFonts w:cs="Arial"/>
          <w:b/>
          <w:bCs/>
          <w:sz w:val="28"/>
          <w:szCs w:val="28"/>
          <w:lang w:val="es-CR" w:eastAsia="es-CR"/>
        </w:rPr>
        <w:t>RESOLUCIÓN DE LA PRESIDENCIA DE LA ASAMBLEA LEGISLATIVA</w:t>
      </w:r>
      <w:bookmarkEnd w:id="0"/>
    </w:p>
    <w:p w14:paraId="4063A78F" w14:textId="77777777" w:rsidR="002319E4" w:rsidRPr="00223F95" w:rsidRDefault="002319E4" w:rsidP="002319E4">
      <w:pPr>
        <w:jc w:val="center"/>
        <w:outlineLvl w:val="1"/>
        <w:rPr>
          <w:rFonts w:cs="Arial"/>
          <w:b/>
          <w:bCs/>
          <w:sz w:val="28"/>
          <w:szCs w:val="28"/>
          <w:lang w:val="es-CR" w:eastAsia="es-CR"/>
        </w:rPr>
      </w:pPr>
    </w:p>
    <w:p w14:paraId="4A1FFDA7" w14:textId="25E7CC05" w:rsidR="002319E4" w:rsidRPr="00223F95" w:rsidRDefault="002319E4" w:rsidP="002319E4">
      <w:pPr>
        <w:jc w:val="center"/>
        <w:outlineLvl w:val="1"/>
        <w:rPr>
          <w:rFonts w:cs="Arial"/>
          <w:b/>
          <w:bCs/>
          <w:sz w:val="28"/>
          <w:szCs w:val="28"/>
          <w:lang w:val="es-CR" w:eastAsia="es-CR"/>
        </w:rPr>
      </w:pPr>
      <w:bookmarkStart w:id="1" w:name="_Toc204846342"/>
      <w:r w:rsidRPr="00223F95">
        <w:rPr>
          <w:rFonts w:cs="Arial"/>
          <w:b/>
          <w:bCs/>
          <w:sz w:val="28"/>
          <w:szCs w:val="28"/>
          <w:lang w:val="es-CR" w:eastAsia="es-CR"/>
        </w:rPr>
        <w:t xml:space="preserve">PROCEDIMIENTO PARA TRÁMITE DE </w:t>
      </w:r>
      <w:r w:rsidR="00FE6445" w:rsidRPr="00223F95">
        <w:rPr>
          <w:rFonts w:cs="Arial"/>
          <w:b/>
          <w:bCs/>
          <w:sz w:val="28"/>
          <w:szCs w:val="28"/>
          <w:lang w:val="es-CR" w:eastAsia="es-CR"/>
        </w:rPr>
        <w:t>DENUNCIA</w:t>
      </w:r>
      <w:r w:rsidRPr="00223F95">
        <w:rPr>
          <w:rFonts w:cs="Arial"/>
          <w:b/>
          <w:bCs/>
          <w:sz w:val="28"/>
          <w:szCs w:val="28"/>
          <w:lang w:val="es-CR" w:eastAsia="es-CR"/>
        </w:rPr>
        <w:t xml:space="preserve"> A LOS MIEMBROS DE LOS SUPREMOS PODERES</w:t>
      </w:r>
      <w:bookmarkEnd w:id="1"/>
      <w:r w:rsidR="001A4ED5" w:rsidRPr="00223F95">
        <w:rPr>
          <w:rFonts w:cs="Arial"/>
          <w:b/>
          <w:bCs/>
          <w:sz w:val="28"/>
          <w:szCs w:val="28"/>
          <w:lang w:val="es-CR" w:eastAsia="es-CR"/>
        </w:rPr>
        <w:t xml:space="preserve"> Y OTROS FUNCIONARIOS PÚBLICOS</w:t>
      </w:r>
    </w:p>
    <w:p w14:paraId="4852CE4D" w14:textId="77777777" w:rsidR="002319E4" w:rsidRPr="00223F95" w:rsidRDefault="002319E4" w:rsidP="002319E4">
      <w:pPr>
        <w:shd w:val="clear" w:color="auto" w:fill="FFFFFF"/>
        <w:jc w:val="left"/>
        <w:rPr>
          <w:rFonts w:cs="Arial"/>
          <w:b/>
          <w:bCs/>
          <w:color w:val="000000"/>
          <w:sz w:val="28"/>
          <w:szCs w:val="28"/>
          <w:lang w:val="es-CR" w:eastAsia="es-CR"/>
        </w:rPr>
      </w:pPr>
    </w:p>
    <w:p w14:paraId="2BC149A0" w14:textId="77777777" w:rsidR="002319E4" w:rsidRPr="00223F95" w:rsidRDefault="002319E4" w:rsidP="00D75649">
      <w:pPr>
        <w:shd w:val="clear" w:color="auto" w:fill="FFFFFF"/>
        <w:jc w:val="center"/>
        <w:rPr>
          <w:rFonts w:cs="Arial"/>
          <w:b/>
          <w:bCs/>
          <w:color w:val="000000"/>
          <w:sz w:val="28"/>
          <w:szCs w:val="28"/>
          <w:lang w:val="es-CR" w:eastAsia="es-CR"/>
        </w:rPr>
      </w:pPr>
      <w:r w:rsidRPr="00223F95">
        <w:rPr>
          <w:rFonts w:cs="Arial"/>
          <w:b/>
          <w:bCs/>
          <w:color w:val="000000"/>
          <w:sz w:val="28"/>
          <w:szCs w:val="28"/>
          <w:lang w:val="es-CR" w:eastAsia="es-CR"/>
        </w:rPr>
        <w:t>CONSIDERANDOS</w:t>
      </w:r>
    </w:p>
    <w:p w14:paraId="313236F3" w14:textId="77777777" w:rsidR="002319E4" w:rsidRPr="00223F95" w:rsidRDefault="002319E4" w:rsidP="002319E4">
      <w:pPr>
        <w:shd w:val="clear" w:color="auto" w:fill="FFFFFF"/>
        <w:rPr>
          <w:rFonts w:cs="Arial"/>
          <w:color w:val="000000"/>
          <w:sz w:val="28"/>
          <w:szCs w:val="28"/>
          <w:lang w:val="es-CR" w:eastAsia="es-CR"/>
        </w:rPr>
      </w:pPr>
    </w:p>
    <w:p w14:paraId="5FD9DEF2" w14:textId="0996746A" w:rsidR="002319E4" w:rsidRPr="00223F95" w:rsidRDefault="002319E4" w:rsidP="00810B98">
      <w:pPr>
        <w:shd w:val="clear" w:color="auto" w:fill="FFFFFF"/>
        <w:rPr>
          <w:rFonts w:cs="Arial"/>
          <w:color w:val="000000"/>
          <w:sz w:val="28"/>
          <w:szCs w:val="28"/>
          <w:lang w:val="es-CR" w:eastAsia="es-CR"/>
        </w:rPr>
      </w:pPr>
      <w:r w:rsidRPr="00223F95">
        <w:rPr>
          <w:rFonts w:cs="Arial"/>
          <w:color w:val="000000"/>
          <w:sz w:val="28"/>
          <w:szCs w:val="28"/>
          <w:lang w:val="es-CR" w:eastAsia="es-CR"/>
        </w:rPr>
        <w:t xml:space="preserve">1. </w:t>
      </w:r>
      <w:r w:rsidR="00810B98" w:rsidRPr="00223F95">
        <w:rPr>
          <w:rFonts w:cs="Arial"/>
          <w:color w:val="000000"/>
          <w:sz w:val="28"/>
          <w:szCs w:val="28"/>
          <w:lang w:val="es-CR" w:eastAsia="es-CR"/>
        </w:rPr>
        <w:t>Que, los artículos 9, 99</w:t>
      </w:r>
      <w:r w:rsidR="00B67572">
        <w:rPr>
          <w:rFonts w:cs="Arial"/>
          <w:color w:val="000000"/>
          <w:sz w:val="28"/>
          <w:szCs w:val="28"/>
          <w:lang w:val="es-CR" w:eastAsia="es-CR"/>
        </w:rPr>
        <w:t xml:space="preserve">, </w:t>
      </w:r>
      <w:r w:rsidR="00810B98" w:rsidRPr="00223F95">
        <w:rPr>
          <w:rFonts w:cs="Arial"/>
          <w:color w:val="000000"/>
          <w:sz w:val="28"/>
          <w:szCs w:val="28"/>
          <w:lang w:val="es-CR" w:eastAsia="es-CR"/>
        </w:rPr>
        <w:t>102</w:t>
      </w:r>
      <w:r w:rsidR="00B67572">
        <w:rPr>
          <w:rFonts w:cs="Arial"/>
          <w:color w:val="000000"/>
          <w:sz w:val="28"/>
          <w:szCs w:val="28"/>
          <w:lang w:val="es-CR" w:eastAsia="es-CR"/>
        </w:rPr>
        <w:t xml:space="preserve"> y 103</w:t>
      </w:r>
      <w:r w:rsidR="00810B98" w:rsidRPr="00223F95">
        <w:rPr>
          <w:rFonts w:cs="Arial"/>
          <w:color w:val="000000"/>
          <w:sz w:val="28"/>
          <w:szCs w:val="28"/>
          <w:lang w:val="es-CR" w:eastAsia="es-CR"/>
        </w:rPr>
        <w:t xml:space="preserve"> de la Constitución Política, establecen expresamente que todo lo relacionado con materia electoral es competencia exclusiva del Tribunal Supremo de Elecciones.  Sobre el particular, la Sala Constitucional, en su sentencia N° 29-2002 de las 9 horas 28 minutos de 3 de enero de 2002, señaló lo siguiente: </w:t>
      </w:r>
      <w:r w:rsidR="00810B98" w:rsidRPr="00223F95">
        <w:rPr>
          <w:rFonts w:cs="Arial"/>
          <w:i/>
          <w:iCs/>
          <w:color w:val="000000"/>
          <w:sz w:val="28"/>
          <w:szCs w:val="28"/>
          <w:lang w:val="es-CR" w:eastAsia="es-CR"/>
        </w:rPr>
        <w:t>“(…) De la conjugación de lo que establecen expresamente los artículos 9, párrafo tercero, 99, 102 inciso tercero y 103 de la Constitución Política, se infiere, sin duda alguna, que fue la voluntad del Constituyente de 1949 atribuirle al Tribunal Supremo de Elecciones, en forma exclusiva, la organización, dirección y vigilancia de los actos relativos al sufragio, incluyendo la función de interpretar, también en forma exclusiva pero, además, obligatoria, las disposiciones constitucionales y legales en materia electoral, sin que  quepa contra sus resoluciones recurso alguno salvo la acción por prevaricato”.</w:t>
      </w:r>
    </w:p>
    <w:p w14:paraId="444ADA75" w14:textId="77777777" w:rsidR="002319E4" w:rsidRPr="00223F95" w:rsidRDefault="002319E4" w:rsidP="002319E4">
      <w:pPr>
        <w:shd w:val="clear" w:color="auto" w:fill="FFFFFF"/>
        <w:rPr>
          <w:rFonts w:cs="Arial"/>
          <w:color w:val="000000"/>
          <w:sz w:val="28"/>
          <w:szCs w:val="28"/>
          <w:lang w:val="es-CR" w:eastAsia="es-CR"/>
        </w:rPr>
      </w:pPr>
    </w:p>
    <w:p w14:paraId="3995CC50" w14:textId="34531A1F" w:rsidR="004723F1" w:rsidRPr="00223F95" w:rsidRDefault="001A0CD9" w:rsidP="000F63BB">
      <w:pPr>
        <w:shd w:val="clear" w:color="auto" w:fill="FFFFFF"/>
        <w:rPr>
          <w:rFonts w:cs="Arial"/>
          <w:i/>
          <w:iCs/>
          <w:color w:val="000000"/>
          <w:sz w:val="28"/>
          <w:szCs w:val="28"/>
          <w:lang w:val="es-CR" w:eastAsia="es-CR"/>
        </w:rPr>
      </w:pPr>
      <w:r w:rsidRPr="00223F95">
        <w:rPr>
          <w:rFonts w:cs="Arial"/>
          <w:color w:val="000000"/>
          <w:sz w:val="28"/>
          <w:szCs w:val="28"/>
          <w:lang w:val="es-CR" w:eastAsia="es-CR"/>
        </w:rPr>
        <w:t>2</w:t>
      </w:r>
      <w:r w:rsidR="002319E4" w:rsidRPr="00223F95">
        <w:rPr>
          <w:rFonts w:cs="Arial"/>
          <w:color w:val="000000"/>
          <w:sz w:val="28"/>
          <w:szCs w:val="28"/>
          <w:lang w:val="es-CR" w:eastAsia="es-CR"/>
        </w:rPr>
        <w:t xml:space="preserve">. </w:t>
      </w:r>
      <w:r w:rsidR="004723F1" w:rsidRPr="00223F95">
        <w:rPr>
          <w:rFonts w:cs="Arial"/>
          <w:color w:val="000000"/>
          <w:sz w:val="28"/>
          <w:szCs w:val="28"/>
          <w:lang w:val="es-CR" w:eastAsia="es-CR"/>
        </w:rPr>
        <w:tab/>
        <w:t xml:space="preserve">Que, </w:t>
      </w:r>
      <w:r w:rsidR="000F63BB">
        <w:rPr>
          <w:rFonts w:cs="Arial"/>
          <w:color w:val="000000"/>
          <w:sz w:val="28"/>
          <w:szCs w:val="28"/>
          <w:lang w:val="es-CR" w:eastAsia="es-CR"/>
        </w:rPr>
        <w:t>e</w:t>
      </w:r>
      <w:r w:rsidR="000F63BB" w:rsidRPr="000F63BB">
        <w:rPr>
          <w:rFonts w:cs="Arial"/>
          <w:color w:val="000000"/>
          <w:sz w:val="28"/>
          <w:szCs w:val="28"/>
          <w:lang w:val="es-CR" w:eastAsia="es-CR"/>
        </w:rPr>
        <w:t>l Tribunal Supremo de Elecciones, en las resoluciones 2362-E-2002 y 1472-E6-2008, precisó que la interpretación realizada en la resolución 0038-96 aplica a los procesos de beligerancia política previstos en el artículo 102.5 de la Constitución Política</w:t>
      </w:r>
      <w:r w:rsidR="000F63BB">
        <w:rPr>
          <w:rFonts w:cs="Arial"/>
          <w:color w:val="000000"/>
          <w:sz w:val="28"/>
          <w:szCs w:val="28"/>
          <w:lang w:val="es-CR" w:eastAsia="es-CR"/>
        </w:rPr>
        <w:t>. L</w:t>
      </w:r>
      <w:r w:rsidR="004723F1" w:rsidRPr="00223F95">
        <w:rPr>
          <w:rFonts w:cs="Arial"/>
          <w:color w:val="000000"/>
          <w:sz w:val="28"/>
          <w:szCs w:val="28"/>
          <w:lang w:val="es-CR" w:eastAsia="es-CR"/>
        </w:rPr>
        <w:t>a Resolución No. 38-96, del diez de enero de mil novecientos noventa resolvió: “</w:t>
      </w:r>
      <w:r w:rsidR="004723F1" w:rsidRPr="00223F95">
        <w:rPr>
          <w:rFonts w:cs="Arial"/>
          <w:i/>
          <w:iCs/>
          <w:color w:val="000000"/>
          <w:sz w:val="28"/>
          <w:szCs w:val="28"/>
          <w:lang w:val="es-CR" w:eastAsia="es-CR"/>
        </w:rPr>
        <w:t>En conclusión, aunque el Tribunal, fundamento en las razones de orden jurídico ya expuestas supra, asume la competencia para investigar y resolver en definitiva sobre la pérdida de las credenciales de los funcionarios electos popularmente para ejercer cargos públicos, cuando se trate de los miembros de los supremos poderes, debe seguirse de previo el procedimiento contemplado en los incisos 9) y 10) del artículo 121 de la Constitución Política”.</w:t>
      </w:r>
    </w:p>
    <w:p w14:paraId="2964DE51" w14:textId="77777777" w:rsidR="008C37C4" w:rsidRPr="00223F95" w:rsidRDefault="008C37C4" w:rsidP="002319E4">
      <w:pPr>
        <w:shd w:val="clear" w:color="auto" w:fill="FFFFFF"/>
        <w:rPr>
          <w:rFonts w:cs="Arial"/>
          <w:color w:val="000000"/>
          <w:sz w:val="28"/>
          <w:szCs w:val="28"/>
          <w:lang w:val="es-CR" w:eastAsia="es-CR"/>
        </w:rPr>
      </w:pPr>
    </w:p>
    <w:p w14:paraId="40AF11F2" w14:textId="13F7F79A" w:rsidR="008C37C4" w:rsidRPr="00223F95" w:rsidRDefault="001A0CD9" w:rsidP="002319E4">
      <w:pPr>
        <w:shd w:val="clear" w:color="auto" w:fill="FFFFFF"/>
        <w:rPr>
          <w:rFonts w:cs="Arial"/>
          <w:color w:val="000000"/>
          <w:sz w:val="28"/>
          <w:szCs w:val="28"/>
          <w:lang w:val="es-CR" w:eastAsia="es-CR"/>
        </w:rPr>
      </w:pPr>
      <w:r w:rsidRPr="00223F95">
        <w:rPr>
          <w:rFonts w:cs="Arial"/>
          <w:color w:val="000000"/>
          <w:sz w:val="28"/>
          <w:szCs w:val="28"/>
          <w:lang w:val="es-CR" w:eastAsia="es-CR"/>
        </w:rPr>
        <w:t>3</w:t>
      </w:r>
      <w:r w:rsidR="004723F1" w:rsidRPr="00223F95">
        <w:rPr>
          <w:rFonts w:cs="Arial"/>
          <w:color w:val="000000"/>
          <w:sz w:val="28"/>
          <w:szCs w:val="28"/>
          <w:lang w:val="es-CR" w:eastAsia="es-CR"/>
        </w:rPr>
        <w:t>.</w:t>
      </w:r>
      <w:r w:rsidR="008C37C4" w:rsidRPr="00223F95">
        <w:rPr>
          <w:rFonts w:cs="Arial"/>
          <w:color w:val="000000"/>
          <w:sz w:val="28"/>
          <w:szCs w:val="28"/>
          <w:lang w:val="es-CR" w:eastAsia="es-CR"/>
        </w:rPr>
        <w:t xml:space="preserve"> Que, </w:t>
      </w:r>
      <w:r w:rsidR="000F64C0" w:rsidRPr="00223F95">
        <w:rPr>
          <w:rFonts w:cs="Arial"/>
          <w:color w:val="000000"/>
          <w:sz w:val="28"/>
          <w:szCs w:val="28"/>
          <w:lang w:val="es-CR" w:eastAsia="es-CR"/>
        </w:rPr>
        <w:t>la Sala Constitucional de la Corte Suprema de Justicia en la resolución No. Res. Nº 2023</w:t>
      </w:r>
      <w:r w:rsidR="00FC4911">
        <w:rPr>
          <w:rFonts w:cs="Arial"/>
          <w:color w:val="000000"/>
          <w:sz w:val="28"/>
          <w:szCs w:val="28"/>
          <w:lang w:val="es-CR" w:eastAsia="es-CR"/>
        </w:rPr>
        <w:t>-</w:t>
      </w:r>
      <w:r w:rsidR="000F64C0" w:rsidRPr="00223F95">
        <w:rPr>
          <w:rFonts w:cs="Arial"/>
          <w:color w:val="000000"/>
          <w:sz w:val="28"/>
          <w:szCs w:val="28"/>
          <w:lang w:val="es-CR" w:eastAsia="es-CR"/>
        </w:rPr>
        <w:t xml:space="preserve">023861, </w:t>
      </w:r>
      <w:r w:rsidR="00FC4911">
        <w:rPr>
          <w:rFonts w:cs="Arial"/>
          <w:color w:val="000000"/>
          <w:sz w:val="28"/>
          <w:szCs w:val="28"/>
          <w:lang w:val="es-CR" w:eastAsia="es-CR"/>
        </w:rPr>
        <w:t>del</w:t>
      </w:r>
      <w:r w:rsidR="000F64C0" w:rsidRPr="00223F95">
        <w:rPr>
          <w:rFonts w:cs="Arial"/>
          <w:color w:val="000000"/>
          <w:sz w:val="28"/>
          <w:szCs w:val="28"/>
          <w:lang w:val="es-CR" w:eastAsia="es-CR"/>
        </w:rPr>
        <w:t xml:space="preserve"> veintiuno de agosto de dos mil veinticuatro, en lo que interesa manifestó: </w:t>
      </w:r>
      <w:r w:rsidR="000F64C0" w:rsidRPr="00223F95">
        <w:rPr>
          <w:rFonts w:cs="Arial"/>
          <w:i/>
          <w:iCs/>
          <w:color w:val="000000"/>
          <w:sz w:val="28"/>
          <w:szCs w:val="28"/>
          <w:lang w:val="es-CR" w:eastAsia="es-CR"/>
        </w:rPr>
        <w:t xml:space="preserve">“(…) </w:t>
      </w:r>
      <w:r w:rsidR="008C37C4" w:rsidRPr="00223F95">
        <w:rPr>
          <w:rFonts w:cs="Arial"/>
          <w:i/>
          <w:iCs/>
          <w:color w:val="000000"/>
          <w:sz w:val="28"/>
          <w:szCs w:val="28"/>
          <w:lang w:val="es-CR" w:eastAsia="es-CR"/>
        </w:rPr>
        <w:t xml:space="preserve">se evidencia que es la </w:t>
      </w:r>
      <w:r w:rsidR="008C37C4" w:rsidRPr="00223F95">
        <w:rPr>
          <w:rFonts w:cs="Arial"/>
          <w:i/>
          <w:iCs/>
          <w:color w:val="000000"/>
          <w:sz w:val="28"/>
          <w:szCs w:val="28"/>
          <w:lang w:val="es-CR" w:eastAsia="es-CR"/>
        </w:rPr>
        <w:lastRenderedPageBreak/>
        <w:t>propia Constitución Política la que define que en el proceso electoral que regula, tramita, resuelve y tiene a cargo el Tribunal Supremo de Elecciones, debe garantizarse la imparcialidad de las autoridades públicas, y que, para brindar dicha garantía, el Tribunal tiene la competencia constitucional de investigar y pronunciarse sobre denuncias relacionadas con parcialidad política de servidores o funcionarios que estén impedidos para ello. Dicho de otro modo, garantizar la imparcialidad y realizar los procesos de jurisdicción electoral para asegurar dicha garantía, es una competencia constitucionalmente asignada al Tribunal Supremo de Elecciones en el ejercicio del marco de sus funciones en materia electoral</w:t>
      </w:r>
      <w:r w:rsidR="000F64C0" w:rsidRPr="00223F95">
        <w:rPr>
          <w:rFonts w:cs="Arial"/>
          <w:i/>
          <w:iCs/>
          <w:color w:val="000000"/>
          <w:sz w:val="28"/>
          <w:szCs w:val="28"/>
          <w:lang w:val="es-CR" w:eastAsia="es-CR"/>
        </w:rPr>
        <w:t>”</w:t>
      </w:r>
      <w:r w:rsidR="008C37C4" w:rsidRPr="00223F95">
        <w:rPr>
          <w:rFonts w:cs="Arial"/>
          <w:i/>
          <w:iCs/>
          <w:color w:val="000000"/>
          <w:sz w:val="28"/>
          <w:szCs w:val="28"/>
          <w:lang w:val="es-CR" w:eastAsia="es-CR"/>
        </w:rPr>
        <w:t>.</w:t>
      </w:r>
      <w:r w:rsidR="009D52BC" w:rsidRPr="00223F95">
        <w:rPr>
          <w:rFonts w:cs="Arial"/>
          <w:i/>
          <w:iCs/>
          <w:color w:val="000000"/>
          <w:sz w:val="28"/>
          <w:szCs w:val="28"/>
          <w:lang w:val="es-CR" w:eastAsia="es-CR"/>
        </w:rPr>
        <w:t xml:space="preserve"> </w:t>
      </w:r>
      <w:r w:rsidR="009D52BC" w:rsidRPr="00223F95">
        <w:rPr>
          <w:rFonts w:cs="Arial"/>
          <w:color w:val="000000"/>
          <w:sz w:val="28"/>
          <w:szCs w:val="28"/>
          <w:lang w:val="es-CR" w:eastAsia="es-CR"/>
        </w:rPr>
        <w:t xml:space="preserve">Continúa el voto en comentario señalando: </w:t>
      </w:r>
      <w:r w:rsidR="009D52BC" w:rsidRPr="00223F95">
        <w:rPr>
          <w:rFonts w:cs="Arial"/>
          <w:i/>
          <w:iCs/>
          <w:color w:val="000000"/>
          <w:sz w:val="28"/>
          <w:szCs w:val="28"/>
          <w:lang w:val="es-CR" w:eastAsia="es-CR"/>
        </w:rPr>
        <w:t>“siempre en este proceso de derivación constitucional y definición de las competencias exclusivas y excluyentes del Tribunal Supremo de Elecciones en materia electoral, lo relativo a los artículos 95.3 y 102.5 de la Constitución, y también del artículo 146 del Código Electoral, el artículo 219 del mismo Código contiene una definición clara sobre el ejercicio de esta competencia”.</w:t>
      </w:r>
    </w:p>
    <w:p w14:paraId="009B0568" w14:textId="77777777" w:rsidR="008C37C4" w:rsidRPr="00223F95" w:rsidRDefault="008C37C4" w:rsidP="002319E4">
      <w:pPr>
        <w:shd w:val="clear" w:color="auto" w:fill="FFFFFF"/>
        <w:rPr>
          <w:rFonts w:cs="Arial"/>
          <w:color w:val="000000"/>
          <w:sz w:val="28"/>
          <w:szCs w:val="28"/>
          <w:lang w:val="es-CR" w:eastAsia="es-CR"/>
        </w:rPr>
      </w:pPr>
    </w:p>
    <w:p w14:paraId="4B5DFAE3" w14:textId="4133B5E0" w:rsidR="002903CA" w:rsidRDefault="008C37C4" w:rsidP="002319E4">
      <w:pPr>
        <w:shd w:val="clear" w:color="auto" w:fill="FFFFFF"/>
        <w:rPr>
          <w:rFonts w:cs="Arial"/>
          <w:color w:val="000000"/>
          <w:sz w:val="28"/>
          <w:szCs w:val="28"/>
          <w:lang w:val="es-CR" w:eastAsia="es-CR"/>
        </w:rPr>
      </w:pPr>
      <w:r w:rsidRPr="00223F95">
        <w:rPr>
          <w:rFonts w:cs="Arial"/>
          <w:color w:val="000000"/>
          <w:sz w:val="28"/>
          <w:szCs w:val="28"/>
          <w:lang w:val="es-CR" w:eastAsia="es-CR"/>
        </w:rPr>
        <w:t xml:space="preserve">4. </w:t>
      </w:r>
      <w:r w:rsidR="002903CA" w:rsidRPr="002903CA">
        <w:rPr>
          <w:rFonts w:cs="Arial"/>
          <w:color w:val="000000"/>
          <w:sz w:val="28"/>
          <w:szCs w:val="28"/>
          <w:lang w:val="es-CR" w:eastAsia="es-CR"/>
        </w:rPr>
        <w:t>Que</w:t>
      </w:r>
      <w:r w:rsidR="002903CA">
        <w:rPr>
          <w:rFonts w:cs="Arial"/>
          <w:color w:val="000000"/>
          <w:sz w:val="28"/>
          <w:szCs w:val="28"/>
          <w:lang w:val="es-CR" w:eastAsia="es-CR"/>
        </w:rPr>
        <w:t>,</w:t>
      </w:r>
      <w:r w:rsidR="002903CA" w:rsidRPr="002903CA">
        <w:rPr>
          <w:rFonts w:cs="Arial"/>
          <w:color w:val="000000"/>
          <w:sz w:val="28"/>
          <w:szCs w:val="28"/>
          <w:lang w:val="es-CR" w:eastAsia="es-CR"/>
        </w:rPr>
        <w:t xml:space="preserve"> el artículo 102 inciso 10) </w:t>
      </w:r>
      <w:r w:rsidR="00B44942">
        <w:rPr>
          <w:rFonts w:cs="Arial"/>
          <w:color w:val="000000"/>
          <w:sz w:val="28"/>
          <w:szCs w:val="28"/>
          <w:lang w:val="es-CR" w:eastAsia="es-CR"/>
        </w:rPr>
        <w:t xml:space="preserve">de la </w:t>
      </w:r>
      <w:r w:rsidR="00371D6E">
        <w:rPr>
          <w:rFonts w:cs="Arial"/>
          <w:color w:val="000000"/>
          <w:sz w:val="28"/>
          <w:szCs w:val="28"/>
          <w:lang w:val="es-CR" w:eastAsia="es-CR"/>
        </w:rPr>
        <w:t>Constitución</w:t>
      </w:r>
      <w:r w:rsidR="00B44942">
        <w:rPr>
          <w:rFonts w:cs="Arial"/>
          <w:color w:val="000000"/>
          <w:sz w:val="28"/>
          <w:szCs w:val="28"/>
          <w:lang w:val="es-CR" w:eastAsia="es-CR"/>
        </w:rPr>
        <w:t xml:space="preserve"> Política </w:t>
      </w:r>
      <w:r w:rsidR="002903CA" w:rsidRPr="002903CA">
        <w:rPr>
          <w:rFonts w:cs="Arial"/>
          <w:color w:val="000000"/>
          <w:sz w:val="28"/>
          <w:szCs w:val="28"/>
          <w:lang w:val="es-CR" w:eastAsia="es-CR"/>
        </w:rPr>
        <w:t xml:space="preserve">establece expresamente que la competencia material del </w:t>
      </w:r>
      <w:r w:rsidR="00B44942">
        <w:rPr>
          <w:rFonts w:cs="Arial"/>
          <w:color w:val="000000"/>
          <w:sz w:val="28"/>
          <w:szCs w:val="28"/>
          <w:lang w:val="es-CR" w:eastAsia="es-CR"/>
        </w:rPr>
        <w:t>Tribunal Supremo de Elecciones</w:t>
      </w:r>
      <w:r w:rsidR="002903CA" w:rsidRPr="002903CA">
        <w:rPr>
          <w:rFonts w:cs="Arial"/>
          <w:color w:val="000000"/>
          <w:sz w:val="28"/>
          <w:szCs w:val="28"/>
          <w:lang w:val="es-CR" w:eastAsia="es-CR"/>
        </w:rPr>
        <w:t xml:space="preserve"> se integra, además de las normas constitucionales, por las disposiciones legislativas que las desarrolla, como ocurre en este caso con los artículos 146 y 270 del Código Electoral</w:t>
      </w:r>
      <w:r w:rsidR="001F1F52">
        <w:rPr>
          <w:rFonts w:cs="Arial"/>
          <w:color w:val="000000"/>
          <w:sz w:val="28"/>
          <w:szCs w:val="28"/>
          <w:lang w:val="es-CR" w:eastAsia="es-CR"/>
        </w:rPr>
        <w:t xml:space="preserve">, Ley No. </w:t>
      </w:r>
      <w:r w:rsidR="001F1F52" w:rsidRPr="001F1F52">
        <w:rPr>
          <w:rFonts w:cs="Arial"/>
          <w:color w:val="000000"/>
          <w:sz w:val="28"/>
          <w:szCs w:val="28"/>
          <w:lang w:val="es-CR" w:eastAsia="es-CR"/>
        </w:rPr>
        <w:t>Nº 8765</w:t>
      </w:r>
      <w:r w:rsidR="001F1F52">
        <w:rPr>
          <w:rFonts w:cs="Arial"/>
          <w:color w:val="000000"/>
          <w:sz w:val="28"/>
          <w:szCs w:val="28"/>
          <w:lang w:val="es-CR" w:eastAsia="es-CR"/>
        </w:rPr>
        <w:t xml:space="preserve"> y sus reformas.</w:t>
      </w:r>
    </w:p>
    <w:p w14:paraId="09851A5F" w14:textId="77777777" w:rsidR="002903CA" w:rsidRDefault="002903CA" w:rsidP="002319E4">
      <w:pPr>
        <w:shd w:val="clear" w:color="auto" w:fill="FFFFFF"/>
        <w:rPr>
          <w:rFonts w:cs="Arial"/>
          <w:color w:val="000000"/>
          <w:sz w:val="28"/>
          <w:szCs w:val="28"/>
          <w:lang w:val="es-CR" w:eastAsia="es-CR"/>
        </w:rPr>
      </w:pPr>
    </w:p>
    <w:p w14:paraId="06AB8D9A" w14:textId="09E25FCE" w:rsidR="002319E4" w:rsidRPr="00223F95" w:rsidRDefault="002903CA" w:rsidP="002319E4">
      <w:pPr>
        <w:shd w:val="clear" w:color="auto" w:fill="FFFFFF"/>
        <w:rPr>
          <w:rFonts w:cs="Arial"/>
          <w:color w:val="000000"/>
          <w:sz w:val="28"/>
          <w:szCs w:val="28"/>
          <w:lang w:val="es-CR" w:eastAsia="es-CR"/>
        </w:rPr>
      </w:pPr>
      <w:r>
        <w:rPr>
          <w:rFonts w:cs="Arial"/>
          <w:color w:val="000000"/>
          <w:sz w:val="28"/>
          <w:szCs w:val="28"/>
          <w:lang w:val="es-CR" w:eastAsia="es-CR"/>
        </w:rPr>
        <w:t xml:space="preserve">5. </w:t>
      </w:r>
      <w:r w:rsidR="002319E4" w:rsidRPr="00223F95">
        <w:rPr>
          <w:rFonts w:cs="Arial"/>
          <w:color w:val="000000"/>
          <w:sz w:val="28"/>
          <w:szCs w:val="28"/>
          <w:lang w:val="es-CR" w:eastAsia="es-CR"/>
        </w:rPr>
        <w:t xml:space="preserve">Que la Asamblea Legislativa, por atribución constitucional, es el órgano competente para el ejercicio del control político frente a la actuación de los otros Poderes del Estado, y como derivación de ese control, está investida para analizar y autorizar, si es necesario, el levantamiento </w:t>
      </w:r>
      <w:r w:rsidR="008C0CF9">
        <w:rPr>
          <w:rFonts w:cs="Arial"/>
          <w:color w:val="000000"/>
          <w:sz w:val="28"/>
          <w:szCs w:val="28"/>
          <w:lang w:val="es-CR" w:eastAsia="es-CR"/>
        </w:rPr>
        <w:t>del fuero de improcedibilidad</w:t>
      </w:r>
      <w:r w:rsidR="001A4ED5" w:rsidRPr="00223F95">
        <w:rPr>
          <w:rFonts w:cs="Arial"/>
          <w:color w:val="000000"/>
          <w:sz w:val="28"/>
          <w:szCs w:val="28"/>
          <w:lang w:val="es-CR" w:eastAsia="es-CR"/>
        </w:rPr>
        <w:t xml:space="preserve"> a los funcionarios públicos</w:t>
      </w:r>
      <w:r w:rsidR="002319E4" w:rsidRPr="00223F95">
        <w:rPr>
          <w:rFonts w:cs="Arial"/>
          <w:color w:val="000000"/>
          <w:sz w:val="28"/>
          <w:szCs w:val="28"/>
          <w:lang w:val="es-CR" w:eastAsia="es-CR"/>
        </w:rPr>
        <w:t xml:space="preserve"> </w:t>
      </w:r>
      <w:r w:rsidR="001A4ED5" w:rsidRPr="00223F95">
        <w:rPr>
          <w:rFonts w:cs="Arial"/>
          <w:color w:val="000000"/>
          <w:sz w:val="28"/>
          <w:szCs w:val="28"/>
          <w:lang w:val="es-CR" w:eastAsia="es-CR"/>
        </w:rPr>
        <w:t>indicados en el Código Electoral</w:t>
      </w:r>
      <w:r w:rsidR="002319E4" w:rsidRPr="00223F95">
        <w:rPr>
          <w:rFonts w:cs="Arial"/>
          <w:color w:val="000000"/>
          <w:sz w:val="28"/>
          <w:szCs w:val="28"/>
          <w:lang w:val="es-CR" w:eastAsia="es-CR"/>
        </w:rPr>
        <w:t xml:space="preserve">, por la comisión de conductas contrarias </w:t>
      </w:r>
      <w:r w:rsidR="008D4F9B" w:rsidRPr="00223F95">
        <w:rPr>
          <w:rFonts w:cs="Arial"/>
          <w:color w:val="000000"/>
          <w:sz w:val="28"/>
          <w:szCs w:val="28"/>
          <w:lang w:val="es-CR" w:eastAsia="es-CR"/>
        </w:rPr>
        <w:t>al ordenamiento jurídico</w:t>
      </w:r>
      <w:r w:rsidR="002319E4" w:rsidRPr="00223F95">
        <w:rPr>
          <w:rFonts w:cs="Arial"/>
          <w:color w:val="000000"/>
          <w:sz w:val="28"/>
          <w:szCs w:val="28"/>
          <w:lang w:val="es-CR" w:eastAsia="es-CR"/>
        </w:rPr>
        <w:t xml:space="preserve"> vigente en Costa Rica. El mecanismo de la recusación no aplica para este proceso, por tratarse de un asunto de control político.</w:t>
      </w:r>
    </w:p>
    <w:p w14:paraId="7E641147" w14:textId="77777777" w:rsidR="002319E4" w:rsidRPr="00223F95" w:rsidRDefault="002319E4" w:rsidP="002319E4">
      <w:pPr>
        <w:shd w:val="clear" w:color="auto" w:fill="FFFFFF"/>
        <w:rPr>
          <w:rFonts w:cs="Arial"/>
          <w:color w:val="000000"/>
          <w:sz w:val="28"/>
          <w:szCs w:val="28"/>
          <w:lang w:val="es-CR" w:eastAsia="es-CR"/>
        </w:rPr>
      </w:pPr>
    </w:p>
    <w:p w14:paraId="5FF7C3CE" w14:textId="17CFAC5F" w:rsidR="002319E4" w:rsidRPr="00223F95" w:rsidRDefault="00A31B91" w:rsidP="002319E4">
      <w:pPr>
        <w:shd w:val="clear" w:color="auto" w:fill="FFFFFF"/>
        <w:rPr>
          <w:rFonts w:cs="Arial"/>
          <w:color w:val="000000"/>
          <w:sz w:val="28"/>
          <w:szCs w:val="28"/>
          <w:lang w:val="es-CR" w:eastAsia="es-CR"/>
        </w:rPr>
      </w:pPr>
      <w:r>
        <w:rPr>
          <w:rFonts w:cs="Arial"/>
          <w:color w:val="000000"/>
          <w:sz w:val="28"/>
          <w:szCs w:val="28"/>
          <w:lang w:val="es-CR" w:eastAsia="es-CR"/>
        </w:rPr>
        <w:t>6</w:t>
      </w:r>
      <w:r w:rsidR="002319E4" w:rsidRPr="00223F95">
        <w:rPr>
          <w:rFonts w:cs="Arial"/>
          <w:color w:val="000000"/>
          <w:sz w:val="28"/>
          <w:szCs w:val="28"/>
          <w:lang w:val="es-CR" w:eastAsia="es-CR"/>
        </w:rPr>
        <w:t xml:space="preserve">. Que el levantamiento </w:t>
      </w:r>
      <w:r w:rsidR="003A2445" w:rsidRPr="003A2445">
        <w:rPr>
          <w:rFonts w:cs="Arial"/>
          <w:color w:val="000000"/>
          <w:sz w:val="28"/>
          <w:szCs w:val="28"/>
          <w:lang w:val="es-CR" w:eastAsia="es-CR"/>
        </w:rPr>
        <w:t xml:space="preserve">del fuero de improcedibilidad </w:t>
      </w:r>
      <w:r w:rsidR="001A4ED5" w:rsidRPr="00223F95">
        <w:rPr>
          <w:rFonts w:cs="Arial"/>
          <w:color w:val="000000"/>
          <w:sz w:val="28"/>
          <w:szCs w:val="28"/>
          <w:lang w:val="es-CR" w:eastAsia="es-CR"/>
        </w:rPr>
        <w:t xml:space="preserve">solicitada por el Tribunal Supremo de Elecciones procede </w:t>
      </w:r>
      <w:r w:rsidR="002C70EA">
        <w:rPr>
          <w:rFonts w:cs="Arial"/>
          <w:color w:val="000000"/>
          <w:sz w:val="28"/>
          <w:szCs w:val="28"/>
          <w:lang w:val="es-CR" w:eastAsia="es-CR"/>
        </w:rPr>
        <w:t xml:space="preserve"> de conformidad con el artículo 270 del Código Electoral, </w:t>
      </w:r>
      <w:r w:rsidR="00EE1203" w:rsidRPr="00223F95">
        <w:rPr>
          <w:rFonts w:cs="Arial"/>
          <w:color w:val="000000"/>
          <w:sz w:val="28"/>
          <w:szCs w:val="28"/>
          <w:lang w:val="es-CR" w:eastAsia="es-CR"/>
        </w:rPr>
        <w:t>cuando la denuncia sea contra</w:t>
      </w:r>
      <w:r w:rsidR="001A4ED5" w:rsidRPr="00223F95">
        <w:rPr>
          <w:rFonts w:cs="Arial"/>
          <w:color w:val="000000"/>
          <w:sz w:val="28"/>
          <w:szCs w:val="28"/>
          <w:lang w:val="es-CR" w:eastAsia="es-CR"/>
        </w:rPr>
        <w:t xml:space="preserve"> quien ocupe el cargo del presidente, vicepresidentes, ministros(as) de Gobierno, ministros(as) diplomáticos(as), contralor(a) y subcontralor(a) </w:t>
      </w:r>
      <w:r w:rsidR="001A4ED5" w:rsidRPr="00223F95">
        <w:rPr>
          <w:rFonts w:cs="Arial"/>
          <w:color w:val="000000"/>
          <w:sz w:val="28"/>
          <w:szCs w:val="28"/>
          <w:lang w:val="es-CR" w:eastAsia="es-CR"/>
        </w:rPr>
        <w:lastRenderedPageBreak/>
        <w:t>generales de la República, magistrados(as) de la Corte Suprema de Justicia, o cualquier otro funcionario que por ley goce de inmunidad</w:t>
      </w:r>
      <w:r w:rsidR="00B4767A" w:rsidRPr="00223F95">
        <w:rPr>
          <w:rFonts w:cs="Arial"/>
          <w:color w:val="000000"/>
          <w:sz w:val="28"/>
          <w:szCs w:val="28"/>
          <w:lang w:val="es-CR" w:eastAsia="es-CR"/>
        </w:rPr>
        <w:t>.</w:t>
      </w:r>
    </w:p>
    <w:p w14:paraId="3F1FAF25" w14:textId="77777777" w:rsidR="002319E4" w:rsidRPr="00223F95" w:rsidRDefault="002319E4" w:rsidP="002319E4">
      <w:pPr>
        <w:shd w:val="clear" w:color="auto" w:fill="FFFFFF"/>
        <w:rPr>
          <w:rFonts w:cs="Arial"/>
          <w:color w:val="000000"/>
          <w:sz w:val="28"/>
          <w:szCs w:val="28"/>
          <w:lang w:val="es-CR" w:eastAsia="es-CR"/>
        </w:rPr>
      </w:pPr>
    </w:p>
    <w:p w14:paraId="6B642A98" w14:textId="1BBF420D" w:rsidR="008B0F33" w:rsidRPr="00223F95" w:rsidRDefault="00A31B91" w:rsidP="002319E4">
      <w:pPr>
        <w:shd w:val="clear" w:color="auto" w:fill="FFFFFF"/>
        <w:rPr>
          <w:rFonts w:cs="Arial"/>
          <w:color w:val="000000"/>
          <w:sz w:val="28"/>
          <w:szCs w:val="28"/>
          <w:lang w:val="es-CR" w:eastAsia="es-CR"/>
        </w:rPr>
      </w:pPr>
      <w:r>
        <w:rPr>
          <w:rFonts w:cs="Arial"/>
          <w:color w:val="000000"/>
          <w:sz w:val="28"/>
          <w:szCs w:val="28"/>
          <w:lang w:val="es-CR" w:eastAsia="es-CR"/>
        </w:rPr>
        <w:t>7</w:t>
      </w:r>
      <w:r w:rsidR="002319E4" w:rsidRPr="00223F95">
        <w:rPr>
          <w:rFonts w:cs="Arial"/>
          <w:color w:val="000000"/>
          <w:sz w:val="28"/>
          <w:szCs w:val="28"/>
          <w:lang w:val="es-CR" w:eastAsia="es-CR"/>
        </w:rPr>
        <w:t xml:space="preserve">. </w:t>
      </w:r>
      <w:r w:rsidR="008B0F33" w:rsidRPr="00223F95">
        <w:rPr>
          <w:rFonts w:cs="Arial"/>
          <w:color w:val="000000"/>
          <w:sz w:val="28"/>
          <w:szCs w:val="28"/>
          <w:lang w:val="es-CR" w:eastAsia="es-CR"/>
        </w:rPr>
        <w:t xml:space="preserve">Que, esta Presidencia dicta la presente resolución en atención al principio de </w:t>
      </w:r>
      <w:r w:rsidR="003B241F" w:rsidRPr="003B241F">
        <w:rPr>
          <w:rFonts w:cs="Arial"/>
          <w:color w:val="000000"/>
          <w:sz w:val="28"/>
          <w:szCs w:val="28"/>
          <w:lang w:val="es-CR" w:eastAsia="es-CR"/>
        </w:rPr>
        <w:t>autorregulación</w:t>
      </w:r>
      <w:r w:rsidR="008B0F33" w:rsidRPr="00223F95">
        <w:rPr>
          <w:rFonts w:cs="Arial"/>
          <w:color w:val="000000"/>
          <w:sz w:val="28"/>
          <w:szCs w:val="28"/>
          <w:lang w:val="es-CR" w:eastAsia="es-CR"/>
        </w:rPr>
        <w:t xml:space="preserve"> de la Asamblea Legislativa cuyo contenido lo encontramos desarrollado en la jurisprudencia constitucional</w:t>
      </w:r>
      <w:r w:rsidR="001B382F" w:rsidRPr="00223F95">
        <w:rPr>
          <w:rFonts w:cs="Arial"/>
          <w:color w:val="000000"/>
          <w:sz w:val="28"/>
          <w:szCs w:val="28"/>
          <w:lang w:val="es-CR" w:eastAsia="es-CR"/>
        </w:rPr>
        <w:t xml:space="preserve">: </w:t>
      </w:r>
      <w:r w:rsidR="008B0F33" w:rsidRPr="00BF3DC5">
        <w:rPr>
          <w:rFonts w:cs="Arial"/>
          <w:i/>
          <w:iCs/>
          <w:color w:val="000000"/>
          <w:sz w:val="28"/>
          <w:szCs w:val="28"/>
          <w:lang w:val="es-CR" w:eastAsia="es-CR"/>
        </w:rPr>
        <w:t>“Este principio establece los límites necesarios para lograr los mecanismos organizativos idóneos que permitan a su vez, un desarrollo efectivo y eficaz de las labores legislativas. Todo lo anterior, al amparo del principio de autorregulación con que cuenta el Poder Legislativo. El Parlamento, como órgano estatal supremo no depende de ningún otro ente estatal, sino que cuenta con potestades de autorregulación”.</w:t>
      </w:r>
      <w:r w:rsidR="008B0F33" w:rsidRPr="00223F95">
        <w:rPr>
          <w:rFonts w:cs="Arial"/>
          <w:color w:val="000000"/>
          <w:sz w:val="28"/>
          <w:szCs w:val="28"/>
          <w:lang w:val="es-CR" w:eastAsia="es-CR"/>
        </w:rPr>
        <w:t xml:space="preserve"> Sentencia 2865-03</w:t>
      </w:r>
    </w:p>
    <w:p w14:paraId="5E030BF2" w14:textId="77777777" w:rsidR="008B0F33" w:rsidRPr="00223F95" w:rsidRDefault="008B0F33" w:rsidP="002319E4">
      <w:pPr>
        <w:shd w:val="clear" w:color="auto" w:fill="FFFFFF"/>
        <w:rPr>
          <w:rFonts w:cs="Arial"/>
          <w:color w:val="000000"/>
          <w:sz w:val="28"/>
          <w:szCs w:val="28"/>
          <w:lang w:val="es-CR" w:eastAsia="es-CR"/>
        </w:rPr>
      </w:pPr>
    </w:p>
    <w:p w14:paraId="5772C8DE" w14:textId="3F5A5169" w:rsidR="002319E4" w:rsidRPr="00223F95" w:rsidRDefault="00A31B91" w:rsidP="002319E4">
      <w:pPr>
        <w:shd w:val="clear" w:color="auto" w:fill="FFFFFF"/>
        <w:rPr>
          <w:rFonts w:cs="Arial"/>
          <w:color w:val="000000"/>
          <w:sz w:val="28"/>
          <w:szCs w:val="28"/>
          <w:lang w:val="es-CR" w:eastAsia="es-CR"/>
        </w:rPr>
      </w:pPr>
      <w:r>
        <w:rPr>
          <w:rFonts w:cs="Arial"/>
          <w:color w:val="000000"/>
          <w:sz w:val="28"/>
          <w:szCs w:val="28"/>
          <w:lang w:val="es-CR" w:eastAsia="es-CR"/>
        </w:rPr>
        <w:t>8</w:t>
      </w:r>
      <w:r w:rsidR="008B0F33" w:rsidRPr="00223F95">
        <w:rPr>
          <w:rFonts w:cs="Arial"/>
          <w:color w:val="000000"/>
          <w:sz w:val="28"/>
          <w:szCs w:val="28"/>
          <w:lang w:val="es-CR" w:eastAsia="es-CR"/>
        </w:rPr>
        <w:t xml:space="preserve">. </w:t>
      </w:r>
      <w:r w:rsidR="002319E4" w:rsidRPr="00223F95">
        <w:rPr>
          <w:rFonts w:cs="Arial"/>
          <w:color w:val="000000"/>
          <w:sz w:val="28"/>
          <w:szCs w:val="28"/>
          <w:lang w:val="es-CR" w:eastAsia="es-CR"/>
        </w:rPr>
        <w:t>Que, ante la consulta sobre el trámite parlamentario o trámite de antejuicio que debe seguir la Asamblea Legislativa</w:t>
      </w:r>
      <w:r w:rsidR="00FF2E83">
        <w:rPr>
          <w:rFonts w:cs="Arial"/>
          <w:color w:val="000000"/>
          <w:sz w:val="28"/>
          <w:szCs w:val="28"/>
          <w:lang w:val="es-CR" w:eastAsia="es-CR"/>
        </w:rPr>
        <w:t xml:space="preserve"> de</w:t>
      </w:r>
      <w:r w:rsidR="002319E4" w:rsidRPr="00223F95">
        <w:rPr>
          <w:rFonts w:cs="Arial"/>
          <w:color w:val="000000"/>
          <w:sz w:val="28"/>
          <w:szCs w:val="28"/>
          <w:lang w:val="es-CR" w:eastAsia="es-CR"/>
        </w:rPr>
        <w:t xml:space="preserve"> </w:t>
      </w:r>
      <w:r w:rsidR="00BC4150" w:rsidRPr="00BC4150">
        <w:rPr>
          <w:rFonts w:cs="Arial"/>
          <w:color w:val="000000"/>
          <w:sz w:val="28"/>
          <w:szCs w:val="28"/>
          <w:lang w:val="es-CR" w:eastAsia="es-CR"/>
        </w:rPr>
        <w:t>levantamiento del fuero de improcedibilidad</w:t>
      </w:r>
      <w:r w:rsidR="002319E4" w:rsidRPr="00223F95">
        <w:rPr>
          <w:rFonts w:cs="Arial"/>
          <w:color w:val="000000"/>
          <w:sz w:val="28"/>
          <w:szCs w:val="28"/>
          <w:lang w:val="es-CR" w:eastAsia="es-CR"/>
        </w:rPr>
        <w:t xml:space="preserve"> es que esta Presidencia procede a dictar la presente resolución en consonancia con el </w:t>
      </w:r>
      <w:r w:rsidR="00EA747B" w:rsidRPr="00223F95">
        <w:rPr>
          <w:rFonts w:cs="Arial"/>
          <w:color w:val="000000"/>
          <w:sz w:val="28"/>
          <w:szCs w:val="28"/>
          <w:lang w:val="es-CR" w:eastAsia="es-CR"/>
        </w:rPr>
        <w:t>artículo 9</w:t>
      </w:r>
      <w:r w:rsidR="00DF66B2" w:rsidRPr="00223F95">
        <w:rPr>
          <w:rFonts w:cs="Arial"/>
          <w:color w:val="000000"/>
          <w:sz w:val="28"/>
          <w:szCs w:val="28"/>
          <w:lang w:val="es-CR" w:eastAsia="es-CR"/>
        </w:rPr>
        <w:t>,</w:t>
      </w:r>
      <w:r w:rsidR="00EA747B" w:rsidRPr="00223F95">
        <w:rPr>
          <w:rFonts w:cs="Arial"/>
          <w:color w:val="000000"/>
          <w:sz w:val="28"/>
          <w:szCs w:val="28"/>
          <w:lang w:val="es-CR" w:eastAsia="es-CR"/>
        </w:rPr>
        <w:t xml:space="preserve"> </w:t>
      </w:r>
      <w:r w:rsidR="00DF66B2" w:rsidRPr="00223F95">
        <w:rPr>
          <w:rFonts w:cs="Arial"/>
          <w:color w:val="000000"/>
          <w:sz w:val="28"/>
          <w:szCs w:val="28"/>
          <w:lang w:val="es-CR" w:eastAsia="es-CR"/>
        </w:rPr>
        <w:t>los</w:t>
      </w:r>
      <w:r w:rsidR="00EA747B" w:rsidRPr="00223F95">
        <w:rPr>
          <w:rFonts w:cs="Arial"/>
          <w:color w:val="000000"/>
          <w:sz w:val="28"/>
          <w:szCs w:val="28"/>
          <w:lang w:val="es-CR" w:eastAsia="es-CR"/>
        </w:rPr>
        <w:t xml:space="preserve"> </w:t>
      </w:r>
      <w:r w:rsidR="001A4ED5" w:rsidRPr="00223F95">
        <w:rPr>
          <w:rFonts w:cs="Arial"/>
          <w:color w:val="000000"/>
          <w:sz w:val="28"/>
          <w:szCs w:val="28"/>
          <w:lang w:val="es-CR" w:eastAsia="es-CR"/>
        </w:rPr>
        <w:t>inciso</w:t>
      </w:r>
      <w:r w:rsidR="00DF66B2" w:rsidRPr="00223F95">
        <w:rPr>
          <w:rFonts w:cs="Arial"/>
          <w:color w:val="000000"/>
          <w:sz w:val="28"/>
          <w:szCs w:val="28"/>
          <w:lang w:val="es-CR" w:eastAsia="es-CR"/>
        </w:rPr>
        <w:t>s</w:t>
      </w:r>
      <w:r w:rsidR="001A4ED5" w:rsidRPr="00223F95">
        <w:rPr>
          <w:rFonts w:cs="Arial"/>
          <w:color w:val="000000"/>
          <w:sz w:val="28"/>
          <w:szCs w:val="28"/>
          <w:lang w:val="es-CR" w:eastAsia="es-CR"/>
        </w:rPr>
        <w:t xml:space="preserve"> </w:t>
      </w:r>
      <w:r w:rsidR="00DF66B2" w:rsidRPr="00223F95">
        <w:rPr>
          <w:rFonts w:cs="Arial"/>
          <w:color w:val="000000"/>
          <w:sz w:val="28"/>
          <w:szCs w:val="28"/>
          <w:lang w:val="es-CR" w:eastAsia="es-CR"/>
        </w:rPr>
        <w:t>2)</w:t>
      </w:r>
      <w:r w:rsidR="00AE6632">
        <w:rPr>
          <w:rFonts w:cs="Arial"/>
          <w:color w:val="000000"/>
          <w:sz w:val="28"/>
          <w:szCs w:val="28"/>
          <w:lang w:val="es-CR" w:eastAsia="es-CR"/>
        </w:rPr>
        <w:t>, 3),</w:t>
      </w:r>
      <w:r w:rsidR="00DF66B2" w:rsidRPr="00223F95">
        <w:rPr>
          <w:rFonts w:cs="Arial"/>
          <w:color w:val="000000"/>
          <w:sz w:val="28"/>
          <w:szCs w:val="28"/>
          <w:lang w:val="es-CR" w:eastAsia="es-CR"/>
        </w:rPr>
        <w:t xml:space="preserve"> </w:t>
      </w:r>
      <w:r w:rsidR="001A4ED5" w:rsidRPr="00223F95">
        <w:rPr>
          <w:rFonts w:cs="Arial"/>
          <w:color w:val="000000"/>
          <w:sz w:val="28"/>
          <w:szCs w:val="28"/>
          <w:lang w:val="es-CR" w:eastAsia="es-CR"/>
        </w:rPr>
        <w:t xml:space="preserve">5) </w:t>
      </w:r>
      <w:r w:rsidR="00AE6632">
        <w:rPr>
          <w:rFonts w:cs="Arial"/>
          <w:color w:val="000000"/>
          <w:sz w:val="28"/>
          <w:szCs w:val="28"/>
          <w:lang w:val="es-CR" w:eastAsia="es-CR"/>
        </w:rPr>
        <w:t xml:space="preserve">y 10) </w:t>
      </w:r>
      <w:r w:rsidR="001A4ED5" w:rsidRPr="00223F95">
        <w:rPr>
          <w:rFonts w:cs="Arial"/>
          <w:color w:val="000000"/>
          <w:sz w:val="28"/>
          <w:szCs w:val="28"/>
          <w:lang w:val="es-CR" w:eastAsia="es-CR"/>
        </w:rPr>
        <w:t>del artículo 102</w:t>
      </w:r>
      <w:r w:rsidR="00C8035C" w:rsidRPr="00223F95">
        <w:rPr>
          <w:rFonts w:cs="Arial"/>
          <w:color w:val="000000"/>
          <w:sz w:val="28"/>
          <w:szCs w:val="28"/>
          <w:lang w:val="es-CR" w:eastAsia="es-CR"/>
        </w:rPr>
        <w:t xml:space="preserve"> </w:t>
      </w:r>
      <w:r w:rsidR="002319E4" w:rsidRPr="00223F95">
        <w:rPr>
          <w:rFonts w:cs="Arial"/>
          <w:color w:val="000000"/>
          <w:sz w:val="28"/>
          <w:szCs w:val="28"/>
          <w:lang w:val="es-CR" w:eastAsia="es-CR"/>
        </w:rPr>
        <w:t>de la Constitución Política</w:t>
      </w:r>
      <w:r w:rsidR="001A4ED5" w:rsidRPr="00223F95">
        <w:rPr>
          <w:rFonts w:cs="Arial"/>
          <w:color w:val="000000"/>
          <w:sz w:val="28"/>
          <w:szCs w:val="28"/>
          <w:lang w:val="es-CR" w:eastAsia="es-CR"/>
        </w:rPr>
        <w:t>, los artículos 146 y 270 del Código Electoral y el Reglamento de la Asamblea Legislativa</w:t>
      </w:r>
      <w:r w:rsidR="002319E4" w:rsidRPr="00223F95">
        <w:rPr>
          <w:rFonts w:cs="Arial"/>
          <w:color w:val="000000"/>
          <w:sz w:val="28"/>
          <w:szCs w:val="28"/>
          <w:lang w:val="es-CR" w:eastAsia="es-CR"/>
        </w:rPr>
        <w:t>.</w:t>
      </w:r>
    </w:p>
    <w:p w14:paraId="6990E103" w14:textId="77777777" w:rsidR="002319E4" w:rsidRPr="00223F95" w:rsidRDefault="002319E4" w:rsidP="002319E4">
      <w:pPr>
        <w:shd w:val="clear" w:color="auto" w:fill="FFFFFF"/>
        <w:rPr>
          <w:rFonts w:cs="Arial"/>
          <w:color w:val="000000"/>
          <w:sz w:val="28"/>
          <w:szCs w:val="28"/>
          <w:lang w:val="es-CR" w:eastAsia="es-CR"/>
        </w:rPr>
      </w:pPr>
    </w:p>
    <w:p w14:paraId="76150D4C" w14:textId="77777777" w:rsidR="002319E4" w:rsidRPr="00223F95" w:rsidRDefault="002319E4" w:rsidP="002319E4">
      <w:pPr>
        <w:shd w:val="clear" w:color="auto" w:fill="FFFFFF"/>
        <w:jc w:val="center"/>
        <w:rPr>
          <w:rFonts w:cs="Arial"/>
          <w:b/>
          <w:bCs/>
          <w:color w:val="000000"/>
          <w:sz w:val="28"/>
          <w:szCs w:val="28"/>
          <w:lang w:val="es-CR" w:eastAsia="es-CR"/>
        </w:rPr>
      </w:pPr>
      <w:r w:rsidRPr="00223F95">
        <w:rPr>
          <w:rFonts w:cs="Arial"/>
          <w:b/>
          <w:bCs/>
          <w:color w:val="000000"/>
          <w:sz w:val="28"/>
          <w:szCs w:val="28"/>
          <w:lang w:val="es-CR" w:eastAsia="es-CR"/>
        </w:rPr>
        <w:t>POR TANTO</w:t>
      </w:r>
    </w:p>
    <w:p w14:paraId="20AC1B51" w14:textId="77777777" w:rsidR="002319E4" w:rsidRPr="00223F95" w:rsidRDefault="002319E4" w:rsidP="002319E4">
      <w:pPr>
        <w:rPr>
          <w:rFonts w:eastAsia="Aptos"/>
          <w:kern w:val="2"/>
          <w:sz w:val="28"/>
          <w:szCs w:val="28"/>
          <w:lang w:val="es-CR" w:eastAsia="en-US"/>
          <w14:ligatures w14:val="standardContextual"/>
        </w:rPr>
      </w:pPr>
    </w:p>
    <w:p w14:paraId="05A0ABE6" w14:textId="63B570AB" w:rsidR="002319E4" w:rsidRPr="00223F95" w:rsidRDefault="002319E4" w:rsidP="002319E4">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t>Con base en los considerandos expresados, esta Presidencia resuelve en atención a lo preceptuado en la Constitución Política, el Reglamento de la Asamblea Legislativa</w:t>
      </w:r>
      <w:r w:rsidR="00DE52A9" w:rsidRPr="00223F95">
        <w:rPr>
          <w:rFonts w:eastAsia="Aptos"/>
          <w:kern w:val="2"/>
          <w:sz w:val="28"/>
          <w:szCs w:val="28"/>
          <w:lang w:val="es-CR" w:eastAsia="en-US"/>
          <w14:ligatures w14:val="standardContextual"/>
        </w:rPr>
        <w:t xml:space="preserve"> y el</w:t>
      </w:r>
      <w:r w:rsidRPr="00223F95">
        <w:rPr>
          <w:rFonts w:eastAsia="Aptos"/>
          <w:kern w:val="2"/>
          <w:sz w:val="28"/>
          <w:szCs w:val="28"/>
          <w:lang w:val="es-CR" w:eastAsia="en-US"/>
          <w14:ligatures w14:val="standardContextual"/>
        </w:rPr>
        <w:t xml:space="preserve"> Código </w:t>
      </w:r>
      <w:r w:rsidR="001A4ED5" w:rsidRPr="00223F95">
        <w:rPr>
          <w:rFonts w:eastAsia="Aptos"/>
          <w:kern w:val="2"/>
          <w:sz w:val="28"/>
          <w:szCs w:val="28"/>
          <w:lang w:val="es-CR" w:eastAsia="en-US"/>
          <w14:ligatures w14:val="standardContextual"/>
        </w:rPr>
        <w:t>Electoral</w:t>
      </w:r>
      <w:r w:rsidR="00DE52A9" w:rsidRPr="00223F95">
        <w:rPr>
          <w:rFonts w:eastAsia="Aptos"/>
          <w:kern w:val="2"/>
          <w:sz w:val="28"/>
          <w:szCs w:val="28"/>
          <w:lang w:val="es-CR" w:eastAsia="en-US"/>
          <w14:ligatures w14:val="standardContextual"/>
        </w:rPr>
        <w:t xml:space="preserve"> </w:t>
      </w:r>
      <w:r w:rsidRPr="00223F95">
        <w:rPr>
          <w:rFonts w:eastAsia="Aptos"/>
          <w:kern w:val="2"/>
          <w:sz w:val="28"/>
          <w:szCs w:val="28"/>
          <w:lang w:val="es-CR" w:eastAsia="en-US"/>
          <w14:ligatures w14:val="standardContextual"/>
        </w:rPr>
        <w:t>los siguientes elementos del proceso parlamentario</w:t>
      </w:r>
      <w:r w:rsidR="002B6511" w:rsidRPr="00223F95">
        <w:rPr>
          <w:rFonts w:eastAsia="Aptos"/>
          <w:kern w:val="2"/>
          <w:sz w:val="28"/>
          <w:szCs w:val="28"/>
          <w:lang w:val="es-CR" w:eastAsia="en-US"/>
          <w14:ligatures w14:val="standardContextual"/>
        </w:rPr>
        <w:t>:</w:t>
      </w:r>
    </w:p>
    <w:p w14:paraId="4CBA7139" w14:textId="77777777" w:rsidR="00FD61C9" w:rsidRDefault="00FD61C9" w:rsidP="002319E4">
      <w:pPr>
        <w:rPr>
          <w:rFonts w:eastAsia="Aptos"/>
          <w:kern w:val="2"/>
          <w:sz w:val="28"/>
          <w:szCs w:val="28"/>
          <w:lang w:val="es-CR" w:eastAsia="en-US"/>
          <w14:ligatures w14:val="standardContextual"/>
        </w:rPr>
      </w:pPr>
    </w:p>
    <w:p w14:paraId="1BCC7180" w14:textId="343CCA28" w:rsidR="002319E4" w:rsidRPr="00223F95" w:rsidRDefault="002319E4" w:rsidP="002319E4">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t xml:space="preserve">1. </w:t>
      </w:r>
      <w:r w:rsidR="00FD61C9">
        <w:rPr>
          <w:rFonts w:eastAsia="Aptos"/>
          <w:kern w:val="2"/>
          <w:sz w:val="28"/>
          <w:szCs w:val="28"/>
          <w:lang w:val="es-CR" w:eastAsia="en-US"/>
          <w14:ligatures w14:val="standardContextual"/>
        </w:rPr>
        <w:t>L</w:t>
      </w:r>
      <w:r w:rsidRPr="00223F95">
        <w:rPr>
          <w:rFonts w:eastAsia="Aptos"/>
          <w:kern w:val="2"/>
          <w:sz w:val="28"/>
          <w:szCs w:val="28"/>
          <w:lang w:val="es-CR" w:eastAsia="en-US"/>
          <w14:ligatures w14:val="standardContextual"/>
        </w:rPr>
        <w:t>a Presidencia de la Asamblea Legislativa dará lectura a</w:t>
      </w:r>
      <w:r w:rsidR="002B6511" w:rsidRPr="00223F95">
        <w:rPr>
          <w:rFonts w:eastAsia="Aptos"/>
          <w:kern w:val="2"/>
          <w:sz w:val="28"/>
          <w:szCs w:val="28"/>
          <w:lang w:val="es-CR" w:eastAsia="en-US"/>
          <w14:ligatures w14:val="standardContextual"/>
        </w:rPr>
        <w:t xml:space="preserve"> la comunicación </w:t>
      </w:r>
      <w:r w:rsidR="0060791C">
        <w:rPr>
          <w:rFonts w:eastAsia="Aptos"/>
          <w:kern w:val="2"/>
          <w:sz w:val="28"/>
          <w:szCs w:val="28"/>
          <w:lang w:val="es-CR" w:eastAsia="en-US"/>
          <w14:ligatures w14:val="standardContextual"/>
        </w:rPr>
        <w:t xml:space="preserve">de </w:t>
      </w:r>
      <w:r w:rsidR="0060791C" w:rsidRPr="00223F95">
        <w:rPr>
          <w:rFonts w:eastAsia="Aptos"/>
          <w:kern w:val="2"/>
          <w:sz w:val="28"/>
          <w:szCs w:val="28"/>
          <w:lang w:val="es-CR" w:eastAsia="en-US"/>
          <w14:ligatures w14:val="standardContextual"/>
        </w:rPr>
        <w:t xml:space="preserve">la denuncia formal </w:t>
      </w:r>
      <w:r w:rsidR="0060791C">
        <w:rPr>
          <w:rFonts w:eastAsia="Aptos"/>
          <w:kern w:val="2"/>
          <w:sz w:val="28"/>
          <w:szCs w:val="28"/>
          <w:lang w:val="es-CR" w:eastAsia="en-US"/>
          <w14:ligatures w14:val="standardContextual"/>
        </w:rPr>
        <w:t xml:space="preserve">remitida </w:t>
      </w:r>
      <w:r w:rsidR="0060791C" w:rsidRPr="00223F95">
        <w:rPr>
          <w:rFonts w:eastAsia="Aptos"/>
          <w:kern w:val="2"/>
          <w:sz w:val="28"/>
          <w:szCs w:val="28"/>
          <w:lang w:val="es-CR" w:eastAsia="en-US"/>
          <w14:ligatures w14:val="standardContextual"/>
        </w:rPr>
        <w:t>por parte del Tribunal Supremo de Elecciones</w:t>
      </w:r>
      <w:r w:rsidR="0060791C">
        <w:rPr>
          <w:rFonts w:eastAsia="Aptos"/>
          <w:kern w:val="2"/>
          <w:sz w:val="28"/>
          <w:szCs w:val="28"/>
          <w:lang w:val="es-CR" w:eastAsia="en-US"/>
          <w14:ligatures w14:val="standardContextual"/>
        </w:rPr>
        <w:t xml:space="preserve">, </w:t>
      </w:r>
      <w:r w:rsidRPr="00223F95">
        <w:rPr>
          <w:rFonts w:eastAsia="Aptos"/>
          <w:kern w:val="2"/>
          <w:sz w:val="28"/>
          <w:szCs w:val="28"/>
          <w:lang w:val="es-CR" w:eastAsia="en-US"/>
          <w14:ligatures w14:val="standardContextual"/>
        </w:rPr>
        <w:t xml:space="preserve">en la sesión del Plenario Legislativo.  En esta sesión se tendrá por ampliada la primera parte de la sesión hasta la integración de la Comisión Especial, que deberá estar conformada por tres diputaciones.  Esta Comisión Especial tendrá la competencia de rendir el informe acerca de si hay o no lugar </w:t>
      </w:r>
      <w:r w:rsidR="002B6511" w:rsidRPr="00223F95">
        <w:rPr>
          <w:rFonts w:eastAsia="Aptos"/>
          <w:kern w:val="2"/>
          <w:sz w:val="28"/>
          <w:szCs w:val="28"/>
          <w:lang w:val="es-CR" w:eastAsia="en-US"/>
          <w14:ligatures w14:val="standardContextual"/>
        </w:rPr>
        <w:t xml:space="preserve">para el </w:t>
      </w:r>
      <w:r w:rsidR="00B90D2E" w:rsidRPr="00B90D2E">
        <w:rPr>
          <w:rFonts w:eastAsia="Aptos"/>
          <w:kern w:val="2"/>
          <w:sz w:val="28"/>
          <w:szCs w:val="28"/>
          <w:lang w:val="es-CR" w:eastAsia="en-US"/>
          <w14:ligatures w14:val="standardContextual"/>
        </w:rPr>
        <w:t>levantamiento del fuero de improcedibilidad</w:t>
      </w:r>
      <w:r w:rsidRPr="00223F95">
        <w:rPr>
          <w:rFonts w:eastAsia="Aptos"/>
          <w:kern w:val="2"/>
          <w:sz w:val="28"/>
          <w:szCs w:val="28"/>
          <w:lang w:val="es-CR" w:eastAsia="en-US"/>
          <w14:ligatures w14:val="standardContextual"/>
        </w:rPr>
        <w:t xml:space="preserve">, </w:t>
      </w:r>
      <w:r w:rsidR="002B6511" w:rsidRPr="00223F95">
        <w:rPr>
          <w:rFonts w:eastAsia="Aptos"/>
          <w:kern w:val="2"/>
          <w:sz w:val="28"/>
          <w:szCs w:val="28"/>
          <w:lang w:val="es-CR" w:eastAsia="en-US"/>
          <w14:ligatures w14:val="standardContextual"/>
        </w:rPr>
        <w:t>que por analogía y paralelismo de las formas se aplicará en lo conducente el Capitulo II, “</w:t>
      </w:r>
      <w:r w:rsidR="002B6511" w:rsidRPr="00223F95">
        <w:rPr>
          <w:rFonts w:eastAsia="Aptos"/>
          <w:i/>
          <w:iCs/>
          <w:kern w:val="2"/>
          <w:sz w:val="28"/>
          <w:szCs w:val="28"/>
          <w:lang w:val="es-CR" w:eastAsia="en-US"/>
          <w14:ligatures w14:val="standardContextual"/>
        </w:rPr>
        <w:t>De las acusaciones de los miembros de los supremos poderes”</w:t>
      </w:r>
      <w:r w:rsidR="002B6511" w:rsidRPr="00223F95">
        <w:rPr>
          <w:rFonts w:eastAsia="Aptos"/>
          <w:kern w:val="2"/>
          <w:sz w:val="28"/>
          <w:szCs w:val="28"/>
          <w:lang w:val="es-CR" w:eastAsia="en-US"/>
          <w14:ligatures w14:val="standardContextual"/>
        </w:rPr>
        <w:t>,</w:t>
      </w:r>
      <w:r w:rsidRPr="00223F95">
        <w:rPr>
          <w:rFonts w:eastAsia="Aptos"/>
          <w:kern w:val="2"/>
          <w:sz w:val="28"/>
          <w:szCs w:val="28"/>
          <w:lang w:val="es-CR" w:eastAsia="en-US"/>
          <w14:ligatures w14:val="standardContextual"/>
        </w:rPr>
        <w:t xml:space="preserve"> del Reglamento de la Asamblea Legislativa.</w:t>
      </w:r>
    </w:p>
    <w:p w14:paraId="0D2B0169" w14:textId="77777777" w:rsidR="002319E4" w:rsidRPr="00223F95" w:rsidRDefault="002319E4" w:rsidP="002319E4">
      <w:pPr>
        <w:rPr>
          <w:rFonts w:eastAsia="Aptos"/>
          <w:kern w:val="2"/>
          <w:sz w:val="28"/>
          <w:szCs w:val="28"/>
          <w:lang w:val="es-CR" w:eastAsia="en-US"/>
          <w14:ligatures w14:val="standardContextual"/>
        </w:rPr>
      </w:pPr>
    </w:p>
    <w:p w14:paraId="7E1A485C" w14:textId="7B350176" w:rsidR="002319E4" w:rsidRPr="00223F95" w:rsidRDefault="002319E4" w:rsidP="002319E4">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lastRenderedPageBreak/>
        <w:t>2. Las diputaciones podrán proponer su nombre o el de cualquier otra diputación para conformar la Comisión. Para la presentación de candidaturas tendrán un plazo de hasta dos minutos.  Se procederá a realizar la votación mediante boletas, en las que se deberá consignar el nombre completo de hasta tres diputaciones</w:t>
      </w:r>
      <w:r w:rsidR="005063A6" w:rsidRPr="00223F95">
        <w:rPr>
          <w:rFonts w:eastAsia="Aptos"/>
          <w:kern w:val="2"/>
          <w:sz w:val="28"/>
          <w:szCs w:val="28"/>
          <w:lang w:val="es-CR" w:eastAsia="en-US"/>
          <w14:ligatures w14:val="standardContextual"/>
        </w:rPr>
        <w:t xml:space="preserve">, </w:t>
      </w:r>
      <w:r w:rsidR="003533EE" w:rsidRPr="00223F95">
        <w:rPr>
          <w:rFonts w:eastAsia="Aptos"/>
          <w:kern w:val="2"/>
          <w:sz w:val="28"/>
          <w:szCs w:val="28"/>
          <w:lang w:val="es-CR" w:eastAsia="en-US"/>
          <w14:ligatures w14:val="standardContextual"/>
        </w:rPr>
        <w:t xml:space="preserve">que deberán ser seleccionadas entre </w:t>
      </w:r>
      <w:r w:rsidR="005063A6" w:rsidRPr="00223F95">
        <w:rPr>
          <w:rFonts w:eastAsia="Aptos"/>
          <w:kern w:val="2"/>
          <w:sz w:val="28"/>
          <w:szCs w:val="28"/>
          <w:lang w:val="es-CR" w:eastAsia="en-US"/>
          <w14:ligatures w14:val="standardContextual"/>
        </w:rPr>
        <w:t>las candidaturas presentadas</w:t>
      </w:r>
      <w:r w:rsidRPr="00223F95">
        <w:rPr>
          <w:rFonts w:eastAsia="Aptos"/>
          <w:kern w:val="2"/>
          <w:sz w:val="28"/>
          <w:szCs w:val="28"/>
          <w:lang w:val="es-CR" w:eastAsia="en-US"/>
          <w14:ligatures w14:val="standardContextual"/>
        </w:rPr>
        <w:t xml:space="preserve">.  Para resultar electos deben de obtener la mayoría </w:t>
      </w:r>
      <w:r w:rsidR="000120F0" w:rsidRPr="00223F95">
        <w:rPr>
          <w:rFonts w:eastAsia="Aptos"/>
          <w:kern w:val="2"/>
          <w:sz w:val="28"/>
          <w:szCs w:val="28"/>
          <w:lang w:val="es-CR" w:eastAsia="en-US"/>
          <w14:ligatures w14:val="standardContextual"/>
        </w:rPr>
        <w:t xml:space="preserve">absoluta </w:t>
      </w:r>
      <w:r w:rsidRPr="00223F95">
        <w:rPr>
          <w:rFonts w:eastAsia="Aptos"/>
          <w:kern w:val="2"/>
          <w:sz w:val="28"/>
          <w:szCs w:val="28"/>
          <w:lang w:val="es-CR" w:eastAsia="en-US"/>
          <w14:ligatures w14:val="standardContextual"/>
        </w:rPr>
        <w:t>de los votos presentes.</w:t>
      </w:r>
      <w:r w:rsidR="00E11E07" w:rsidRPr="00223F95">
        <w:rPr>
          <w:rFonts w:eastAsia="Aptos"/>
          <w:kern w:val="2"/>
          <w:sz w:val="28"/>
          <w:szCs w:val="28"/>
          <w:lang w:val="es-CR" w:eastAsia="en-US"/>
          <w14:ligatures w14:val="standardContextual"/>
        </w:rPr>
        <w:t xml:space="preserve"> </w:t>
      </w:r>
      <w:r w:rsidR="000120F0" w:rsidRPr="00223F95">
        <w:rPr>
          <w:rFonts w:eastAsia="Aptos"/>
          <w:kern w:val="2"/>
          <w:sz w:val="28"/>
          <w:szCs w:val="28"/>
          <w:lang w:val="es-CR" w:eastAsia="en-US"/>
          <w14:ligatures w14:val="standardContextual"/>
        </w:rPr>
        <w:t xml:space="preserve">En caso de que no se cuente con la mayoría absoluta </w:t>
      </w:r>
      <w:r w:rsidR="00D43E11" w:rsidRPr="00223F95">
        <w:rPr>
          <w:rFonts w:eastAsia="Aptos"/>
          <w:kern w:val="2"/>
          <w:sz w:val="28"/>
          <w:szCs w:val="28"/>
          <w:lang w:val="es-CR" w:eastAsia="en-US"/>
          <w14:ligatures w14:val="standardContextual"/>
        </w:rPr>
        <w:t>la Presidencia</w:t>
      </w:r>
      <w:r w:rsidR="000120F0" w:rsidRPr="00223F95">
        <w:rPr>
          <w:rFonts w:eastAsia="Aptos"/>
          <w:kern w:val="2"/>
          <w:sz w:val="28"/>
          <w:szCs w:val="28"/>
          <w:lang w:val="es-CR" w:eastAsia="en-US"/>
          <w14:ligatures w14:val="standardContextual"/>
        </w:rPr>
        <w:t xml:space="preserve"> procederá a aplicar el artículo 228 del Reglamento de la Asamblea Legislativa</w:t>
      </w:r>
      <w:r w:rsidRPr="00223F95">
        <w:rPr>
          <w:rFonts w:eastAsia="Aptos"/>
          <w:kern w:val="2"/>
          <w:sz w:val="28"/>
          <w:szCs w:val="28"/>
          <w:lang w:val="es-CR" w:eastAsia="en-US"/>
          <w14:ligatures w14:val="standardContextual"/>
        </w:rPr>
        <w:t>.</w:t>
      </w:r>
    </w:p>
    <w:p w14:paraId="5156F392" w14:textId="77777777" w:rsidR="002319E4" w:rsidRPr="00223F95" w:rsidRDefault="002319E4" w:rsidP="002319E4">
      <w:pPr>
        <w:rPr>
          <w:rFonts w:eastAsia="Aptos"/>
          <w:kern w:val="2"/>
          <w:sz w:val="28"/>
          <w:szCs w:val="28"/>
          <w:lang w:val="es-CR" w:eastAsia="en-US"/>
          <w14:ligatures w14:val="standardContextual"/>
        </w:rPr>
      </w:pPr>
    </w:p>
    <w:p w14:paraId="0FCB1583" w14:textId="3857E28E" w:rsidR="002319E4" w:rsidRPr="00223F95" w:rsidRDefault="00D47272"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3</w:t>
      </w:r>
      <w:r w:rsidR="002319E4" w:rsidRPr="00223F95">
        <w:rPr>
          <w:rFonts w:eastAsia="Aptos"/>
          <w:kern w:val="2"/>
          <w:sz w:val="28"/>
          <w:szCs w:val="28"/>
          <w:lang w:val="es-CR" w:eastAsia="en-US"/>
          <w14:ligatures w14:val="standardContextual"/>
        </w:rPr>
        <w:t xml:space="preserve">. La Presidencia de la Asamblea Legislativa, al anunciar la integración de la Comisión Especial, </w:t>
      </w:r>
      <w:r w:rsidR="00D30A41" w:rsidRPr="00223F95">
        <w:rPr>
          <w:rFonts w:eastAsia="Aptos"/>
          <w:kern w:val="2"/>
          <w:sz w:val="28"/>
          <w:szCs w:val="28"/>
          <w:lang w:val="es-CR" w:eastAsia="en-US"/>
          <w14:ligatures w14:val="standardContextual"/>
        </w:rPr>
        <w:t>le otorgará</w:t>
      </w:r>
      <w:r w:rsidR="002319E4" w:rsidRPr="00223F95">
        <w:rPr>
          <w:rFonts w:eastAsia="Aptos"/>
          <w:kern w:val="2"/>
          <w:sz w:val="28"/>
          <w:szCs w:val="28"/>
          <w:lang w:val="es-CR" w:eastAsia="en-US"/>
          <w14:ligatures w14:val="standardContextual"/>
        </w:rPr>
        <w:t xml:space="preserve"> el plazo para rendir el informe de hasta </w:t>
      </w:r>
      <w:r w:rsidR="00635984" w:rsidRPr="00FF04BE">
        <w:rPr>
          <w:rFonts w:eastAsia="Aptos"/>
          <w:kern w:val="2"/>
          <w:sz w:val="28"/>
          <w:szCs w:val="28"/>
          <w:lang w:val="es-CR" w:eastAsia="en-US"/>
          <w14:ligatures w14:val="standardContextual"/>
        </w:rPr>
        <w:t>veinte días naturales</w:t>
      </w:r>
      <w:r w:rsidR="00D30A41" w:rsidRPr="00223F95">
        <w:rPr>
          <w:rFonts w:eastAsia="Aptos"/>
          <w:kern w:val="2"/>
          <w:sz w:val="28"/>
          <w:szCs w:val="28"/>
          <w:lang w:val="es-CR" w:eastAsia="en-US"/>
          <w14:ligatures w14:val="standardContextual"/>
        </w:rPr>
        <w:t xml:space="preserve">. Este plazo </w:t>
      </w:r>
      <w:r w:rsidR="002319E4" w:rsidRPr="00223F95">
        <w:rPr>
          <w:rFonts w:eastAsia="Aptos"/>
          <w:kern w:val="2"/>
          <w:sz w:val="28"/>
          <w:szCs w:val="28"/>
          <w:lang w:val="es-CR" w:eastAsia="en-US"/>
          <w14:ligatures w14:val="standardContextual"/>
        </w:rPr>
        <w:t>podrá ser prorrogado por una sola vez por un plazo igual a la solicitud de la Comisión.</w:t>
      </w:r>
    </w:p>
    <w:p w14:paraId="7D050486" w14:textId="77777777" w:rsidR="002319E4" w:rsidRPr="00223F95" w:rsidRDefault="002319E4" w:rsidP="002319E4">
      <w:pPr>
        <w:rPr>
          <w:rFonts w:eastAsia="Aptos"/>
          <w:kern w:val="2"/>
          <w:sz w:val="28"/>
          <w:szCs w:val="28"/>
          <w:lang w:val="es-CR" w:eastAsia="en-US"/>
          <w14:ligatures w14:val="standardContextual"/>
        </w:rPr>
      </w:pPr>
    </w:p>
    <w:p w14:paraId="448B82E3" w14:textId="155FBB89" w:rsidR="002319E4" w:rsidRPr="00223F95" w:rsidRDefault="00D47272"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4</w:t>
      </w:r>
      <w:r w:rsidR="002319E4" w:rsidRPr="00223F95">
        <w:rPr>
          <w:rFonts w:eastAsia="Aptos"/>
          <w:kern w:val="2"/>
          <w:sz w:val="28"/>
          <w:szCs w:val="28"/>
          <w:lang w:val="es-CR" w:eastAsia="en-US"/>
          <w14:ligatures w14:val="standardContextual"/>
        </w:rPr>
        <w:t>. Cinco minutos después de concluida la sesión del Plenario legislativo en la que fuese integrada la Comisión, la Presidencia de la Asamblea Legislativa deberá realizar el acto de instalación de dicha Comisión Especial.</w:t>
      </w:r>
    </w:p>
    <w:p w14:paraId="37292232" w14:textId="77777777" w:rsidR="002319E4" w:rsidRPr="00223F95" w:rsidRDefault="002319E4" w:rsidP="002319E4">
      <w:pPr>
        <w:rPr>
          <w:rFonts w:eastAsia="Aptos"/>
          <w:kern w:val="2"/>
          <w:sz w:val="28"/>
          <w:szCs w:val="28"/>
          <w:lang w:val="es-CR" w:eastAsia="en-US"/>
          <w14:ligatures w14:val="standardContextual"/>
        </w:rPr>
      </w:pPr>
    </w:p>
    <w:p w14:paraId="4011A8F0" w14:textId="6922F5C2" w:rsidR="002319E4" w:rsidRPr="00223F95" w:rsidRDefault="00D47272"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5</w:t>
      </w:r>
      <w:r w:rsidR="002319E4" w:rsidRPr="00223F95">
        <w:rPr>
          <w:rFonts w:eastAsia="Aptos"/>
          <w:kern w:val="2"/>
          <w:sz w:val="28"/>
          <w:szCs w:val="28"/>
          <w:lang w:val="es-CR" w:eastAsia="en-US"/>
          <w14:ligatures w14:val="standardContextual"/>
        </w:rPr>
        <w:t xml:space="preserve">. El expediente </w:t>
      </w:r>
      <w:r w:rsidR="00773C56" w:rsidRPr="00223F95">
        <w:rPr>
          <w:rFonts w:eastAsia="Aptos"/>
          <w:kern w:val="2"/>
          <w:sz w:val="28"/>
          <w:szCs w:val="28"/>
          <w:lang w:val="es-CR" w:eastAsia="en-US"/>
          <w14:ligatures w14:val="standardContextual"/>
        </w:rPr>
        <w:t>de la denuncia</w:t>
      </w:r>
      <w:r w:rsidR="002319E4" w:rsidRPr="00223F95">
        <w:rPr>
          <w:rFonts w:eastAsia="Aptos"/>
          <w:kern w:val="2"/>
          <w:sz w:val="28"/>
          <w:szCs w:val="28"/>
          <w:lang w:val="es-CR" w:eastAsia="en-US"/>
          <w14:ligatures w14:val="standardContextual"/>
        </w:rPr>
        <w:t xml:space="preserve"> remitido por la </w:t>
      </w:r>
      <w:r w:rsidR="00773C56" w:rsidRPr="00223F95">
        <w:rPr>
          <w:rFonts w:eastAsia="Aptos"/>
          <w:kern w:val="2"/>
          <w:sz w:val="28"/>
          <w:szCs w:val="28"/>
          <w:lang w:val="es-CR" w:eastAsia="en-US"/>
          <w14:ligatures w14:val="standardContextual"/>
        </w:rPr>
        <w:t>Tribunal Supremo de Elecciones</w:t>
      </w:r>
      <w:r w:rsidR="002319E4" w:rsidRPr="00223F95">
        <w:rPr>
          <w:rFonts w:eastAsia="Aptos"/>
          <w:kern w:val="2"/>
          <w:sz w:val="28"/>
          <w:szCs w:val="28"/>
          <w:lang w:val="es-CR" w:eastAsia="en-US"/>
          <w14:ligatures w14:val="standardContextual"/>
        </w:rPr>
        <w:t xml:space="preserve"> no es de libre acceso al público.  Solo tienen acceso a él las partes del proceso y sus representantes legales debidamente acreditados con el fin de no entorpecer la marcha del proceso </w:t>
      </w:r>
      <w:r w:rsidR="007507EC">
        <w:rPr>
          <w:rFonts w:eastAsia="Aptos"/>
          <w:kern w:val="2"/>
          <w:sz w:val="28"/>
          <w:szCs w:val="28"/>
          <w:lang w:val="es-CR" w:eastAsia="en-US"/>
          <w14:ligatures w14:val="standardContextual"/>
        </w:rPr>
        <w:t xml:space="preserve">contencioso electoral </w:t>
      </w:r>
      <w:r w:rsidR="002319E4" w:rsidRPr="00223F95">
        <w:rPr>
          <w:rFonts w:eastAsia="Aptos"/>
          <w:kern w:val="2"/>
          <w:sz w:val="28"/>
          <w:szCs w:val="28"/>
          <w:lang w:val="es-CR" w:eastAsia="en-US"/>
          <w14:ligatures w14:val="standardContextual"/>
        </w:rPr>
        <w:t xml:space="preserve">de que se trate, en atención a lo dispuesto en el artículo 203 del Código Penal, que tipifica que los expedientes son privados y su divulgación puede configurar un delito.  Las diputaciones tendrán acceso al expediente </w:t>
      </w:r>
      <w:r w:rsidR="00A04AB3">
        <w:rPr>
          <w:rFonts w:eastAsia="Aptos"/>
          <w:kern w:val="2"/>
          <w:sz w:val="28"/>
          <w:szCs w:val="28"/>
          <w:lang w:val="es-CR" w:eastAsia="en-US"/>
          <w14:ligatures w14:val="standardContextual"/>
        </w:rPr>
        <w:t>remitido por el Tribunal Supremo de Elecciones</w:t>
      </w:r>
      <w:r w:rsidR="002319E4" w:rsidRPr="00223F95">
        <w:rPr>
          <w:rFonts w:eastAsia="Aptos"/>
          <w:kern w:val="2"/>
          <w:sz w:val="28"/>
          <w:szCs w:val="28"/>
          <w:lang w:val="es-CR" w:eastAsia="en-US"/>
          <w14:ligatures w14:val="standardContextual"/>
        </w:rPr>
        <w:t>.</w:t>
      </w:r>
    </w:p>
    <w:p w14:paraId="008AD1B0" w14:textId="77777777" w:rsidR="002319E4" w:rsidRPr="00223F95" w:rsidRDefault="002319E4" w:rsidP="002319E4">
      <w:pPr>
        <w:rPr>
          <w:rFonts w:eastAsia="Aptos"/>
          <w:kern w:val="2"/>
          <w:sz w:val="28"/>
          <w:szCs w:val="28"/>
          <w:lang w:val="es-CR" w:eastAsia="en-US"/>
          <w14:ligatures w14:val="standardContextual"/>
        </w:rPr>
      </w:pPr>
    </w:p>
    <w:p w14:paraId="689AFFE3" w14:textId="4ACEA403" w:rsidR="002319E4" w:rsidRPr="00223F95" w:rsidRDefault="00D47272"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6</w:t>
      </w:r>
      <w:r w:rsidR="002319E4" w:rsidRPr="00223F95">
        <w:rPr>
          <w:rFonts w:eastAsia="Aptos"/>
          <w:kern w:val="2"/>
          <w:sz w:val="28"/>
          <w:szCs w:val="28"/>
          <w:lang w:val="es-CR" w:eastAsia="en-US"/>
          <w14:ligatures w14:val="standardContextual"/>
        </w:rPr>
        <w:t xml:space="preserve">.  La dirección de la Secretaría del Directorio procederá a entregar en sobre cerrado el expediente </w:t>
      </w:r>
      <w:r w:rsidR="00A97BC4" w:rsidRPr="00223F95">
        <w:rPr>
          <w:rFonts w:eastAsia="Aptos"/>
          <w:kern w:val="2"/>
          <w:sz w:val="28"/>
          <w:szCs w:val="28"/>
          <w:lang w:val="es-CR" w:eastAsia="en-US"/>
          <w14:ligatures w14:val="standardContextual"/>
        </w:rPr>
        <w:t>de la denuncia que</w:t>
      </w:r>
      <w:r w:rsidR="002319E4" w:rsidRPr="00223F95">
        <w:rPr>
          <w:rFonts w:eastAsia="Aptos"/>
          <w:kern w:val="2"/>
          <w:sz w:val="28"/>
          <w:szCs w:val="28"/>
          <w:lang w:val="es-CR" w:eastAsia="en-US"/>
          <w14:ligatures w14:val="standardContextual"/>
        </w:rPr>
        <w:t xml:space="preserve"> remitió </w:t>
      </w:r>
      <w:r w:rsidR="00A97BC4" w:rsidRPr="00223F95">
        <w:rPr>
          <w:rFonts w:eastAsia="Aptos"/>
          <w:kern w:val="2"/>
          <w:sz w:val="28"/>
          <w:szCs w:val="28"/>
          <w:lang w:val="es-CR" w:eastAsia="en-US"/>
          <w14:ligatures w14:val="standardContextual"/>
        </w:rPr>
        <w:t xml:space="preserve">el Tribunal Supremo de Elecciones a </w:t>
      </w:r>
      <w:r w:rsidR="002319E4" w:rsidRPr="00223F95">
        <w:rPr>
          <w:rFonts w:eastAsia="Aptos"/>
          <w:kern w:val="2"/>
          <w:sz w:val="28"/>
          <w:szCs w:val="28"/>
          <w:lang w:val="es-CR" w:eastAsia="en-US"/>
          <w14:ligatures w14:val="standardContextual"/>
        </w:rPr>
        <w:t>la Secretaría de la Comisión para su debida custodia.</w:t>
      </w:r>
    </w:p>
    <w:p w14:paraId="1D579517" w14:textId="77777777" w:rsidR="002319E4" w:rsidRPr="00223F95" w:rsidRDefault="002319E4" w:rsidP="002319E4">
      <w:pPr>
        <w:rPr>
          <w:rFonts w:eastAsia="Aptos"/>
          <w:kern w:val="2"/>
          <w:sz w:val="28"/>
          <w:szCs w:val="28"/>
          <w:lang w:val="es-CR" w:eastAsia="en-US"/>
          <w14:ligatures w14:val="standardContextual"/>
        </w:rPr>
      </w:pPr>
    </w:p>
    <w:p w14:paraId="43FF4854" w14:textId="0EFE36DD" w:rsidR="002319E4" w:rsidRPr="00223F95" w:rsidRDefault="00951B60"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7</w:t>
      </w:r>
      <w:r w:rsidR="002319E4" w:rsidRPr="00223F95">
        <w:rPr>
          <w:rFonts w:eastAsia="Aptos"/>
          <w:kern w:val="2"/>
          <w:sz w:val="28"/>
          <w:szCs w:val="28"/>
          <w:lang w:val="es-CR" w:eastAsia="en-US"/>
          <w14:ligatures w14:val="standardContextual"/>
        </w:rPr>
        <w:t xml:space="preserve">. Las sesiones de la Comisión Especial son públicas, pero el órgano puede aprobar en cada sesión una moción para que la sesión y deliberación sean privadas siempre que por razones muy calificadas y de interés general justifiquen la excepción a los principios de publicidad </w:t>
      </w:r>
      <w:r w:rsidR="002319E4" w:rsidRPr="00223F95">
        <w:rPr>
          <w:rFonts w:eastAsia="Aptos"/>
          <w:kern w:val="2"/>
          <w:sz w:val="28"/>
          <w:szCs w:val="28"/>
          <w:lang w:val="es-CR" w:eastAsia="en-US"/>
          <w14:ligatures w14:val="standardContextual"/>
        </w:rPr>
        <w:lastRenderedPageBreak/>
        <w:t xml:space="preserve">y transparencia.  Dicha moción debe ser aprobada al menos por dos de las tres diputaciones que la integran, de conformidad con el </w:t>
      </w:r>
      <w:r w:rsidR="00834B3A" w:rsidRPr="00223F95">
        <w:rPr>
          <w:rFonts w:eastAsia="Aptos"/>
          <w:kern w:val="2"/>
          <w:sz w:val="28"/>
          <w:szCs w:val="28"/>
          <w:lang w:val="es-CR" w:eastAsia="en-US"/>
          <w14:ligatures w14:val="standardContextual"/>
        </w:rPr>
        <w:t xml:space="preserve">preceptuado en el párrafo tercero, del </w:t>
      </w:r>
      <w:r w:rsidR="002319E4" w:rsidRPr="00223F95">
        <w:rPr>
          <w:rFonts w:eastAsia="Aptos"/>
          <w:kern w:val="2"/>
          <w:sz w:val="28"/>
          <w:szCs w:val="28"/>
          <w:lang w:val="es-CR" w:eastAsia="en-US"/>
          <w14:ligatures w14:val="standardContextual"/>
        </w:rPr>
        <w:t>numeral 117 constitucional y el artículo 75 del Reglamento de la Asamblea Legislativa.</w:t>
      </w:r>
    </w:p>
    <w:p w14:paraId="3386A877" w14:textId="77777777" w:rsidR="002319E4" w:rsidRPr="00223F95" w:rsidRDefault="002319E4" w:rsidP="002319E4">
      <w:pPr>
        <w:rPr>
          <w:rFonts w:eastAsia="Aptos"/>
          <w:kern w:val="2"/>
          <w:sz w:val="28"/>
          <w:szCs w:val="28"/>
          <w:lang w:val="es-CR" w:eastAsia="en-US"/>
          <w14:ligatures w14:val="standardContextual"/>
        </w:rPr>
      </w:pPr>
    </w:p>
    <w:p w14:paraId="4FF9B0ED" w14:textId="03FDEC84" w:rsidR="002319E4" w:rsidRPr="00223F95" w:rsidRDefault="00951B60"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8</w:t>
      </w:r>
      <w:r w:rsidR="002319E4" w:rsidRPr="00223F95">
        <w:rPr>
          <w:rFonts w:eastAsia="Aptos"/>
          <w:kern w:val="2"/>
          <w:sz w:val="28"/>
          <w:szCs w:val="28"/>
          <w:lang w:val="es-CR" w:eastAsia="en-US"/>
          <w14:ligatures w14:val="standardContextual"/>
        </w:rPr>
        <w:t xml:space="preserve">. Las actas de las sesiones de la Comisión Especial son públicas, no </w:t>
      </w:r>
      <w:r w:rsidR="002D417C" w:rsidRPr="00223F95">
        <w:rPr>
          <w:rFonts w:eastAsia="Aptos"/>
          <w:kern w:val="2"/>
          <w:sz w:val="28"/>
          <w:szCs w:val="28"/>
          <w:lang w:val="es-CR" w:eastAsia="en-US"/>
          <w14:ligatures w14:val="standardContextual"/>
        </w:rPr>
        <w:t>obstante,</w:t>
      </w:r>
      <w:r w:rsidR="002319E4" w:rsidRPr="00223F95">
        <w:rPr>
          <w:rFonts w:eastAsia="Aptos"/>
          <w:kern w:val="2"/>
          <w:sz w:val="28"/>
          <w:szCs w:val="28"/>
          <w:lang w:val="es-CR" w:eastAsia="en-US"/>
          <w14:ligatures w14:val="standardContextual"/>
        </w:rPr>
        <w:t xml:space="preserve"> debe resguardarse aquella información que se considere sensible y que por su naturaleza no debe ser divulgada </w:t>
      </w:r>
      <w:r w:rsidR="00477023" w:rsidRPr="00223F95">
        <w:rPr>
          <w:rFonts w:eastAsia="Aptos"/>
          <w:kern w:val="2"/>
          <w:sz w:val="28"/>
          <w:szCs w:val="28"/>
          <w:lang w:val="es-CR" w:eastAsia="en-US"/>
          <w14:ligatures w14:val="standardContextual"/>
        </w:rPr>
        <w:t>en atención a</w:t>
      </w:r>
      <w:r w:rsidR="002319E4" w:rsidRPr="00223F95">
        <w:rPr>
          <w:rFonts w:eastAsia="Aptos"/>
          <w:kern w:val="2"/>
          <w:sz w:val="28"/>
          <w:szCs w:val="28"/>
          <w:lang w:val="es-CR" w:eastAsia="en-US"/>
          <w14:ligatures w14:val="standardContextual"/>
        </w:rPr>
        <w:t xml:space="preserve"> la Ley de Protección de la Persona frente al tratamiento de sus datos personales, Ley </w:t>
      </w:r>
      <w:r w:rsidR="001E3EF8" w:rsidRPr="00223F95">
        <w:rPr>
          <w:rFonts w:eastAsia="Aptos"/>
          <w:kern w:val="2"/>
          <w:sz w:val="28"/>
          <w:szCs w:val="28"/>
          <w:lang w:val="es-CR" w:eastAsia="en-US"/>
          <w14:ligatures w14:val="standardContextual"/>
        </w:rPr>
        <w:t>No.</w:t>
      </w:r>
      <w:r w:rsidR="002319E4" w:rsidRPr="00223F95">
        <w:rPr>
          <w:rFonts w:eastAsia="Aptos"/>
          <w:kern w:val="2"/>
          <w:sz w:val="28"/>
          <w:szCs w:val="28"/>
          <w:lang w:val="es-CR" w:eastAsia="en-US"/>
          <w14:ligatures w14:val="standardContextual"/>
        </w:rPr>
        <w:t xml:space="preserve"> 8968.</w:t>
      </w:r>
    </w:p>
    <w:p w14:paraId="390549D1" w14:textId="77777777" w:rsidR="002319E4" w:rsidRPr="00223F95" w:rsidRDefault="002319E4" w:rsidP="002319E4">
      <w:pPr>
        <w:rPr>
          <w:rFonts w:eastAsia="Aptos"/>
          <w:kern w:val="2"/>
          <w:sz w:val="28"/>
          <w:szCs w:val="28"/>
          <w:lang w:val="es-CR" w:eastAsia="en-US"/>
          <w14:ligatures w14:val="standardContextual"/>
        </w:rPr>
      </w:pPr>
    </w:p>
    <w:p w14:paraId="1AEDA8FA" w14:textId="66A7C15B" w:rsidR="002319E4" w:rsidRPr="00223F95" w:rsidRDefault="00951B60"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9</w:t>
      </w:r>
      <w:r w:rsidR="002319E4" w:rsidRPr="00223F95">
        <w:rPr>
          <w:rFonts w:eastAsia="Aptos"/>
          <w:kern w:val="2"/>
          <w:sz w:val="28"/>
          <w:szCs w:val="28"/>
          <w:lang w:val="es-CR" w:eastAsia="en-US"/>
          <w14:ligatures w14:val="standardContextual"/>
        </w:rPr>
        <w:t xml:space="preserve">.  Durante la tramitación del expediente en la Comisión Especial </w:t>
      </w:r>
      <w:r w:rsidR="00F618E1">
        <w:rPr>
          <w:rFonts w:eastAsia="Aptos"/>
          <w:kern w:val="2"/>
          <w:sz w:val="28"/>
          <w:szCs w:val="28"/>
          <w:lang w:val="es-CR" w:eastAsia="en-US"/>
          <w14:ligatures w14:val="standardContextual"/>
        </w:rPr>
        <w:t>la persona denunciada</w:t>
      </w:r>
      <w:r w:rsidR="00E179A3">
        <w:rPr>
          <w:rFonts w:eastAsia="Aptos"/>
          <w:kern w:val="2"/>
          <w:sz w:val="28"/>
          <w:szCs w:val="28"/>
          <w:lang w:val="es-CR" w:eastAsia="en-US"/>
          <w14:ligatures w14:val="standardContextual"/>
        </w:rPr>
        <w:t xml:space="preserve"> podrá presentar l</w:t>
      </w:r>
      <w:r w:rsidR="007A7C6E" w:rsidRPr="00223F95">
        <w:rPr>
          <w:rFonts w:eastAsia="Aptos"/>
          <w:kern w:val="2"/>
          <w:sz w:val="28"/>
          <w:szCs w:val="28"/>
          <w:lang w:val="es-CR" w:eastAsia="en-US"/>
          <w14:ligatures w14:val="standardContextual"/>
        </w:rPr>
        <w:t>as pruebas</w:t>
      </w:r>
      <w:r w:rsidR="00E04110" w:rsidRPr="00223F95">
        <w:rPr>
          <w:rFonts w:eastAsia="Aptos"/>
          <w:kern w:val="2"/>
          <w:sz w:val="28"/>
          <w:szCs w:val="28"/>
          <w:lang w:val="es-CR" w:eastAsia="en-US"/>
          <w14:ligatures w14:val="standardContextual"/>
        </w:rPr>
        <w:t xml:space="preserve">. </w:t>
      </w:r>
      <w:r w:rsidR="002319E4" w:rsidRPr="00223F95">
        <w:rPr>
          <w:rFonts w:eastAsia="Aptos"/>
          <w:kern w:val="2"/>
          <w:sz w:val="28"/>
          <w:szCs w:val="28"/>
          <w:lang w:val="es-CR" w:eastAsia="en-US"/>
          <w14:ligatures w14:val="standardContextual"/>
        </w:rPr>
        <w:t xml:space="preserve"> </w:t>
      </w:r>
      <w:r w:rsidR="00E04110" w:rsidRPr="00223F95">
        <w:rPr>
          <w:rFonts w:eastAsia="Aptos"/>
          <w:kern w:val="2"/>
          <w:sz w:val="28"/>
          <w:szCs w:val="28"/>
          <w:lang w:val="es-CR" w:eastAsia="en-US"/>
          <w14:ligatures w14:val="standardContextual"/>
        </w:rPr>
        <w:t xml:space="preserve">Una vez </w:t>
      </w:r>
      <w:r w:rsidR="002319E4" w:rsidRPr="00223F95">
        <w:rPr>
          <w:rFonts w:eastAsia="Aptos"/>
          <w:kern w:val="2"/>
          <w:sz w:val="28"/>
          <w:szCs w:val="28"/>
          <w:lang w:val="es-CR" w:eastAsia="en-US"/>
          <w14:ligatures w14:val="standardContextual"/>
        </w:rPr>
        <w:t>terminado el análisis de la información</w:t>
      </w:r>
      <w:r w:rsidR="00943F09" w:rsidRPr="00223F95">
        <w:rPr>
          <w:rFonts w:eastAsia="Aptos"/>
          <w:kern w:val="2"/>
          <w:sz w:val="28"/>
          <w:szCs w:val="28"/>
          <w:lang w:val="es-CR" w:eastAsia="en-US"/>
          <w14:ligatures w14:val="standardContextual"/>
        </w:rPr>
        <w:t>,</w:t>
      </w:r>
      <w:r w:rsidR="002319E4" w:rsidRPr="00223F95">
        <w:rPr>
          <w:rFonts w:eastAsia="Aptos"/>
          <w:kern w:val="2"/>
          <w:sz w:val="28"/>
          <w:szCs w:val="28"/>
          <w:lang w:val="es-CR" w:eastAsia="en-US"/>
          <w14:ligatures w14:val="standardContextual"/>
        </w:rPr>
        <w:t xml:space="preserve"> </w:t>
      </w:r>
      <w:r w:rsidR="00E04110" w:rsidRPr="00223F95">
        <w:rPr>
          <w:rFonts w:eastAsia="Aptos"/>
          <w:kern w:val="2"/>
          <w:sz w:val="28"/>
          <w:szCs w:val="28"/>
          <w:lang w:val="es-CR" w:eastAsia="en-US"/>
          <w14:ligatures w14:val="standardContextual"/>
        </w:rPr>
        <w:t xml:space="preserve">la comisión </w:t>
      </w:r>
      <w:r w:rsidR="002319E4" w:rsidRPr="00223F95">
        <w:rPr>
          <w:rFonts w:eastAsia="Aptos"/>
          <w:kern w:val="2"/>
          <w:sz w:val="28"/>
          <w:szCs w:val="28"/>
          <w:lang w:val="es-CR" w:eastAsia="en-US"/>
          <w14:ligatures w14:val="standardContextual"/>
        </w:rPr>
        <w:t>dará cuenta de ella a la Asamblea Legislativa</w:t>
      </w:r>
      <w:r w:rsidR="00943F09" w:rsidRPr="00223F95">
        <w:rPr>
          <w:rFonts w:eastAsia="Aptos"/>
          <w:kern w:val="2"/>
          <w:sz w:val="28"/>
          <w:szCs w:val="28"/>
          <w:lang w:val="es-CR" w:eastAsia="en-US"/>
          <w14:ligatures w14:val="standardContextual"/>
        </w:rPr>
        <w:t>,</w:t>
      </w:r>
      <w:r w:rsidR="002319E4" w:rsidRPr="00223F95">
        <w:rPr>
          <w:rFonts w:eastAsia="Aptos"/>
          <w:kern w:val="2"/>
          <w:sz w:val="28"/>
          <w:szCs w:val="28"/>
          <w:lang w:val="es-CR" w:eastAsia="en-US"/>
          <w14:ligatures w14:val="standardContextual"/>
        </w:rPr>
        <w:t xml:space="preserve"> acompañándola con el correspondiente informe. </w:t>
      </w:r>
    </w:p>
    <w:p w14:paraId="0840E912" w14:textId="5742CE1A" w:rsidR="00175D41" w:rsidRPr="00E45B92" w:rsidRDefault="00175D41" w:rsidP="002319E4">
      <w:pPr>
        <w:rPr>
          <w:rFonts w:eastAsia="Aptos"/>
          <w:b/>
          <w:bCs/>
          <w:kern w:val="2"/>
          <w:sz w:val="28"/>
          <w:szCs w:val="28"/>
          <w:u w:val="single"/>
          <w:lang w:val="es-CR" w:eastAsia="en-US"/>
          <w14:ligatures w14:val="standardContextual"/>
        </w:rPr>
      </w:pPr>
    </w:p>
    <w:p w14:paraId="762046A0" w14:textId="2B929656" w:rsidR="00E179A3" w:rsidRPr="00E855A6" w:rsidRDefault="004F72A5" w:rsidP="002319E4">
      <w:pPr>
        <w:rPr>
          <w:rFonts w:eastAsia="Aptos"/>
          <w:kern w:val="2"/>
          <w:sz w:val="28"/>
          <w:szCs w:val="28"/>
          <w:lang w:val="es-CR" w:eastAsia="en-US"/>
          <w14:ligatures w14:val="standardContextual"/>
        </w:rPr>
      </w:pPr>
      <w:r w:rsidRPr="00E855A6">
        <w:rPr>
          <w:rFonts w:eastAsia="Aptos"/>
          <w:kern w:val="2"/>
          <w:sz w:val="28"/>
          <w:szCs w:val="28"/>
          <w:lang w:val="es-CR" w:eastAsia="en-US"/>
          <w14:ligatures w14:val="standardContextual"/>
        </w:rPr>
        <w:t>1</w:t>
      </w:r>
      <w:r w:rsidR="00261162" w:rsidRPr="00E855A6">
        <w:rPr>
          <w:rFonts w:eastAsia="Aptos"/>
          <w:kern w:val="2"/>
          <w:sz w:val="28"/>
          <w:szCs w:val="28"/>
          <w:lang w:val="es-CR" w:eastAsia="en-US"/>
          <w14:ligatures w14:val="standardContextual"/>
        </w:rPr>
        <w:t>0</w:t>
      </w:r>
      <w:r w:rsidRPr="00E855A6">
        <w:rPr>
          <w:rFonts w:eastAsia="Aptos"/>
          <w:kern w:val="2"/>
          <w:sz w:val="28"/>
          <w:szCs w:val="28"/>
          <w:lang w:val="es-CR" w:eastAsia="en-US"/>
          <w14:ligatures w14:val="standardContextual"/>
        </w:rPr>
        <w:t xml:space="preserve">. </w:t>
      </w:r>
      <w:r w:rsidR="002319E4" w:rsidRPr="00E855A6">
        <w:rPr>
          <w:rFonts w:eastAsia="Aptos"/>
          <w:kern w:val="2"/>
          <w:sz w:val="28"/>
          <w:szCs w:val="28"/>
          <w:lang w:val="es-CR" w:eastAsia="en-US"/>
          <w14:ligatures w14:val="standardContextual"/>
        </w:rPr>
        <w:t xml:space="preserve">La persona </w:t>
      </w:r>
      <w:r w:rsidR="00471C40" w:rsidRPr="00E855A6">
        <w:rPr>
          <w:rFonts w:eastAsia="Aptos"/>
          <w:kern w:val="2"/>
          <w:sz w:val="28"/>
          <w:szCs w:val="28"/>
          <w:lang w:val="es-CR" w:eastAsia="en-US"/>
          <w14:ligatures w14:val="standardContextual"/>
        </w:rPr>
        <w:t>denunciada</w:t>
      </w:r>
      <w:r w:rsidR="002319E4" w:rsidRPr="00E855A6">
        <w:rPr>
          <w:rFonts w:eastAsia="Aptos"/>
          <w:kern w:val="2"/>
          <w:sz w:val="28"/>
          <w:szCs w:val="28"/>
          <w:lang w:val="es-CR" w:eastAsia="en-US"/>
          <w14:ligatures w14:val="standardContextual"/>
        </w:rPr>
        <w:t xml:space="preserve"> podrá asistir </w:t>
      </w:r>
      <w:r w:rsidR="00E179A3" w:rsidRPr="00E855A6">
        <w:rPr>
          <w:rFonts w:eastAsia="Aptos"/>
          <w:kern w:val="2"/>
          <w:sz w:val="28"/>
          <w:szCs w:val="28"/>
          <w:lang w:val="es-CR" w:eastAsia="en-US"/>
          <w14:ligatures w14:val="standardContextual"/>
        </w:rPr>
        <w:t xml:space="preserve">a la comisión especial </w:t>
      </w:r>
      <w:r w:rsidR="00E855A6">
        <w:rPr>
          <w:rFonts w:eastAsia="Aptos"/>
          <w:kern w:val="2"/>
          <w:sz w:val="28"/>
          <w:szCs w:val="28"/>
          <w:lang w:val="es-CR" w:eastAsia="en-US"/>
          <w14:ligatures w14:val="standardContextual"/>
        </w:rPr>
        <w:t xml:space="preserve">a exponer sus argumentos. A esta sesión, podrá hacerse </w:t>
      </w:r>
      <w:r w:rsidR="00E855A6" w:rsidRPr="00E855A6">
        <w:rPr>
          <w:rFonts w:eastAsia="Aptos"/>
          <w:kern w:val="2"/>
          <w:sz w:val="28"/>
          <w:szCs w:val="28"/>
          <w:lang w:val="es-CR" w:eastAsia="en-US"/>
          <w14:ligatures w14:val="standardContextual"/>
        </w:rPr>
        <w:t xml:space="preserve">acompañar por un abogado o abogada a fin de garantizar </w:t>
      </w:r>
      <w:r w:rsidR="00C5432E">
        <w:rPr>
          <w:rFonts w:eastAsia="Aptos"/>
          <w:kern w:val="2"/>
          <w:sz w:val="28"/>
          <w:szCs w:val="28"/>
          <w:lang w:val="es-CR" w:eastAsia="en-US"/>
          <w14:ligatures w14:val="standardContextual"/>
        </w:rPr>
        <w:t xml:space="preserve">el </w:t>
      </w:r>
      <w:r w:rsidR="00C5432E" w:rsidRPr="00C5432E">
        <w:rPr>
          <w:rFonts w:eastAsia="Aptos"/>
          <w:kern w:val="2"/>
          <w:sz w:val="28"/>
          <w:szCs w:val="28"/>
          <w:lang w:val="es-CR" w:eastAsia="en-US"/>
          <w14:ligatures w14:val="standardContextual"/>
        </w:rPr>
        <w:t xml:space="preserve">principio del derecho a la defensa técnica </w:t>
      </w:r>
      <w:r w:rsidR="00E855A6" w:rsidRPr="00E855A6">
        <w:rPr>
          <w:rFonts w:eastAsia="Aptos"/>
          <w:kern w:val="2"/>
          <w:sz w:val="28"/>
          <w:szCs w:val="28"/>
          <w:lang w:val="es-CR" w:eastAsia="en-US"/>
          <w14:ligatures w14:val="standardContextual"/>
        </w:rPr>
        <w:t xml:space="preserve">y </w:t>
      </w:r>
      <w:r w:rsidR="00C5432E">
        <w:rPr>
          <w:rFonts w:eastAsia="Aptos"/>
          <w:kern w:val="2"/>
          <w:sz w:val="28"/>
          <w:szCs w:val="28"/>
          <w:lang w:val="es-CR" w:eastAsia="en-US"/>
          <w14:ligatures w14:val="standardContextual"/>
        </w:rPr>
        <w:t xml:space="preserve">el </w:t>
      </w:r>
      <w:r w:rsidR="00C5432E" w:rsidRPr="00C5432E">
        <w:rPr>
          <w:rFonts w:eastAsia="Aptos"/>
          <w:kern w:val="2"/>
          <w:sz w:val="28"/>
          <w:szCs w:val="28"/>
          <w:lang w:val="es-CR" w:eastAsia="en-US"/>
          <w14:ligatures w14:val="standardContextual"/>
        </w:rPr>
        <w:t>principio del debido proceso</w:t>
      </w:r>
      <w:r w:rsidR="00E855A6" w:rsidRPr="00E855A6">
        <w:rPr>
          <w:rFonts w:eastAsia="Aptos"/>
          <w:kern w:val="2"/>
          <w:sz w:val="28"/>
          <w:szCs w:val="28"/>
          <w:lang w:val="es-CR" w:eastAsia="en-US"/>
          <w14:ligatures w14:val="standardContextual"/>
        </w:rPr>
        <w:t>.</w:t>
      </w:r>
      <w:r w:rsidR="00BD6703">
        <w:rPr>
          <w:rFonts w:eastAsia="Aptos"/>
          <w:kern w:val="2"/>
          <w:sz w:val="28"/>
          <w:szCs w:val="28"/>
          <w:lang w:val="es-CR" w:eastAsia="en-US"/>
          <w14:ligatures w14:val="standardContextual"/>
        </w:rPr>
        <w:t xml:space="preserve"> En caso de que en el expediente legislativo se tramiten varias denuncias contra el mismo funcionario, el informe deberá referirse a cada una de ellas.</w:t>
      </w:r>
    </w:p>
    <w:p w14:paraId="3EC67193" w14:textId="77777777" w:rsidR="00E179A3" w:rsidRPr="00E855A6" w:rsidRDefault="00E179A3" w:rsidP="002319E4">
      <w:pPr>
        <w:rPr>
          <w:rFonts w:eastAsia="Aptos"/>
          <w:kern w:val="2"/>
          <w:sz w:val="28"/>
          <w:szCs w:val="28"/>
          <w:lang w:val="es-CR" w:eastAsia="en-US"/>
          <w14:ligatures w14:val="standardContextual"/>
        </w:rPr>
      </w:pPr>
    </w:p>
    <w:p w14:paraId="2FF639B5" w14:textId="6CC32D58" w:rsidR="00376702" w:rsidRDefault="002319E4" w:rsidP="00376702">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t>1</w:t>
      </w:r>
      <w:r w:rsidR="00261162">
        <w:rPr>
          <w:rFonts w:eastAsia="Aptos"/>
          <w:kern w:val="2"/>
          <w:sz w:val="28"/>
          <w:szCs w:val="28"/>
          <w:lang w:val="es-CR" w:eastAsia="en-US"/>
          <w14:ligatures w14:val="standardContextual"/>
        </w:rPr>
        <w:t>1</w:t>
      </w:r>
      <w:r w:rsidRPr="00223F95">
        <w:rPr>
          <w:rFonts w:eastAsia="Aptos"/>
          <w:kern w:val="2"/>
          <w:sz w:val="28"/>
          <w:szCs w:val="28"/>
          <w:lang w:val="es-CR" w:eastAsia="en-US"/>
          <w14:ligatures w14:val="standardContextual"/>
        </w:rPr>
        <w:t xml:space="preserve">.  </w:t>
      </w:r>
      <w:r w:rsidR="00376702" w:rsidRPr="00376702">
        <w:rPr>
          <w:rFonts w:eastAsia="Aptos"/>
          <w:kern w:val="2"/>
          <w:sz w:val="28"/>
          <w:szCs w:val="28"/>
          <w:lang w:val="es-CR" w:eastAsia="en-US"/>
          <w14:ligatures w14:val="standardContextual"/>
        </w:rPr>
        <w:t xml:space="preserve">La persona </w:t>
      </w:r>
      <w:r w:rsidR="00376702">
        <w:rPr>
          <w:rFonts w:eastAsia="Aptos"/>
          <w:kern w:val="2"/>
          <w:sz w:val="28"/>
          <w:szCs w:val="28"/>
          <w:lang w:val="es-CR" w:eastAsia="en-US"/>
          <w14:ligatures w14:val="standardContextual"/>
        </w:rPr>
        <w:t>denunciada</w:t>
      </w:r>
      <w:r w:rsidR="00376702" w:rsidRPr="00376702">
        <w:rPr>
          <w:rFonts w:eastAsia="Aptos"/>
          <w:kern w:val="2"/>
          <w:sz w:val="28"/>
          <w:szCs w:val="28"/>
          <w:lang w:val="es-CR" w:eastAsia="en-US"/>
          <w14:ligatures w14:val="standardContextual"/>
        </w:rPr>
        <w:t xml:space="preserve"> podrá asistir a las sesiones de la Comisión Especial </w:t>
      </w:r>
      <w:r w:rsidR="00CC7814">
        <w:rPr>
          <w:rFonts w:eastAsia="Aptos"/>
          <w:kern w:val="2"/>
          <w:sz w:val="28"/>
          <w:szCs w:val="28"/>
          <w:lang w:val="es-CR" w:eastAsia="en-US"/>
          <w14:ligatures w14:val="standardContextual"/>
        </w:rPr>
        <w:t>y podrá solicitar e</w:t>
      </w:r>
      <w:r w:rsidR="00376702" w:rsidRPr="00376702">
        <w:rPr>
          <w:rFonts w:eastAsia="Aptos"/>
          <w:kern w:val="2"/>
          <w:sz w:val="28"/>
          <w:szCs w:val="28"/>
          <w:lang w:val="es-CR" w:eastAsia="en-US"/>
          <w14:ligatures w14:val="standardContextual"/>
        </w:rPr>
        <w:t>l uso de la palabra</w:t>
      </w:r>
      <w:r w:rsidR="00376702">
        <w:rPr>
          <w:rFonts w:eastAsia="Aptos"/>
          <w:kern w:val="2"/>
          <w:sz w:val="28"/>
          <w:szCs w:val="28"/>
          <w:lang w:val="es-CR" w:eastAsia="en-US"/>
          <w14:ligatures w14:val="standardContextual"/>
        </w:rPr>
        <w:t xml:space="preserve">. En caso de que asista, </w:t>
      </w:r>
      <w:r w:rsidR="00376702" w:rsidRPr="00376702">
        <w:rPr>
          <w:rFonts w:eastAsia="Aptos"/>
          <w:kern w:val="2"/>
          <w:sz w:val="28"/>
          <w:szCs w:val="28"/>
          <w:lang w:val="es-CR" w:eastAsia="en-US"/>
          <w14:ligatures w14:val="standardContextual"/>
        </w:rPr>
        <w:t>podrá hacerse acompañar por un abogado o abogada a fin de garantizar el principio del derecho a la defensa técnica y el principio del debido proceso.</w:t>
      </w:r>
    </w:p>
    <w:p w14:paraId="551E6DE4" w14:textId="77777777" w:rsidR="00376702" w:rsidRDefault="00376702" w:rsidP="002319E4">
      <w:pPr>
        <w:rPr>
          <w:rFonts w:eastAsia="Aptos"/>
          <w:kern w:val="2"/>
          <w:sz w:val="28"/>
          <w:szCs w:val="28"/>
          <w:lang w:val="es-CR" w:eastAsia="en-US"/>
          <w14:ligatures w14:val="standardContextual"/>
        </w:rPr>
      </w:pPr>
    </w:p>
    <w:p w14:paraId="67A8FC56" w14:textId="66787145" w:rsidR="002319E4" w:rsidRPr="00223F95" w:rsidRDefault="00917DC4" w:rsidP="002319E4">
      <w:pPr>
        <w:rPr>
          <w:rFonts w:eastAsia="Aptos"/>
          <w:kern w:val="2"/>
          <w:sz w:val="28"/>
          <w:szCs w:val="28"/>
          <w:lang w:val="es-CR" w:eastAsia="en-US"/>
          <w14:ligatures w14:val="standardContextual"/>
        </w:rPr>
      </w:pPr>
      <w:r>
        <w:rPr>
          <w:rFonts w:eastAsia="Aptos"/>
          <w:kern w:val="2"/>
          <w:sz w:val="28"/>
          <w:szCs w:val="28"/>
          <w:lang w:val="es-CR" w:eastAsia="en-US"/>
          <w14:ligatures w14:val="standardContextual"/>
        </w:rPr>
        <w:t>12.</w:t>
      </w:r>
      <w:r>
        <w:rPr>
          <w:rFonts w:eastAsia="Aptos"/>
          <w:kern w:val="2"/>
          <w:sz w:val="28"/>
          <w:szCs w:val="28"/>
          <w:lang w:val="es-CR" w:eastAsia="en-US"/>
          <w14:ligatures w14:val="standardContextual"/>
        </w:rPr>
        <w:tab/>
      </w:r>
      <w:r w:rsidR="002319E4" w:rsidRPr="00223F95">
        <w:rPr>
          <w:rFonts w:eastAsia="Aptos"/>
          <w:kern w:val="2"/>
          <w:sz w:val="28"/>
          <w:szCs w:val="28"/>
          <w:lang w:val="es-CR" w:eastAsia="en-US"/>
          <w14:ligatures w14:val="standardContextual"/>
        </w:rPr>
        <w:t xml:space="preserve">El informe que emite la Comisión Especial es público y deberá ser incorporado en el sistema de información legislativa, sin </w:t>
      </w:r>
      <w:r w:rsidR="00BA6FDF" w:rsidRPr="00223F95">
        <w:rPr>
          <w:rFonts w:eastAsia="Aptos"/>
          <w:kern w:val="2"/>
          <w:sz w:val="28"/>
          <w:szCs w:val="28"/>
          <w:lang w:val="es-CR" w:eastAsia="en-US"/>
          <w14:ligatures w14:val="standardContextual"/>
        </w:rPr>
        <w:t>embargo,</w:t>
      </w:r>
      <w:r w:rsidR="002319E4" w:rsidRPr="00223F95">
        <w:rPr>
          <w:rFonts w:eastAsia="Aptos"/>
          <w:kern w:val="2"/>
          <w:sz w:val="28"/>
          <w:szCs w:val="28"/>
          <w:lang w:val="es-CR" w:eastAsia="en-US"/>
          <w14:ligatures w14:val="standardContextual"/>
        </w:rPr>
        <w:t xml:space="preserve"> debe resguardarse aquella información que </w:t>
      </w:r>
      <w:r w:rsidR="0015264B" w:rsidRPr="00223F95">
        <w:rPr>
          <w:rFonts w:eastAsia="Aptos"/>
          <w:kern w:val="2"/>
          <w:sz w:val="28"/>
          <w:szCs w:val="28"/>
          <w:lang w:val="es-CR" w:eastAsia="en-US"/>
          <w14:ligatures w14:val="standardContextual"/>
        </w:rPr>
        <w:t>resultará</w:t>
      </w:r>
      <w:r w:rsidR="002319E4" w:rsidRPr="00223F95">
        <w:rPr>
          <w:rFonts w:eastAsia="Aptos"/>
          <w:kern w:val="2"/>
          <w:sz w:val="28"/>
          <w:szCs w:val="28"/>
          <w:lang w:val="es-CR" w:eastAsia="en-US"/>
          <w14:ligatures w14:val="standardContextual"/>
        </w:rPr>
        <w:t xml:space="preserve"> sensible según el caso concreto.</w:t>
      </w:r>
    </w:p>
    <w:p w14:paraId="58E55C30" w14:textId="77777777" w:rsidR="002319E4" w:rsidRPr="00223F95" w:rsidRDefault="002319E4" w:rsidP="002319E4">
      <w:pPr>
        <w:rPr>
          <w:rFonts w:eastAsia="Aptos"/>
          <w:kern w:val="2"/>
          <w:sz w:val="28"/>
          <w:szCs w:val="28"/>
          <w:lang w:val="es-CR" w:eastAsia="en-US"/>
          <w14:ligatures w14:val="standardContextual"/>
        </w:rPr>
      </w:pPr>
    </w:p>
    <w:p w14:paraId="720E7B52" w14:textId="186DFD42" w:rsidR="002319E4" w:rsidRPr="00223F95" w:rsidRDefault="002319E4" w:rsidP="002319E4">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t>1</w:t>
      </w:r>
      <w:r w:rsidR="00917DC4">
        <w:rPr>
          <w:rFonts w:eastAsia="Aptos"/>
          <w:kern w:val="2"/>
          <w:sz w:val="28"/>
          <w:szCs w:val="28"/>
          <w:lang w:val="es-CR" w:eastAsia="en-US"/>
          <w14:ligatures w14:val="standardContextual"/>
        </w:rPr>
        <w:t>3</w:t>
      </w:r>
      <w:r w:rsidRPr="00223F95">
        <w:rPr>
          <w:rFonts w:eastAsia="Aptos"/>
          <w:kern w:val="2"/>
          <w:sz w:val="28"/>
          <w:szCs w:val="28"/>
          <w:lang w:val="es-CR" w:eastAsia="en-US"/>
          <w14:ligatures w14:val="standardContextual"/>
        </w:rPr>
        <w:t xml:space="preserve">.  Una vez recibido el expediente legislativo por la </w:t>
      </w:r>
      <w:r w:rsidR="001E2B02">
        <w:rPr>
          <w:rFonts w:eastAsia="Aptos"/>
          <w:kern w:val="2"/>
          <w:sz w:val="28"/>
          <w:szCs w:val="28"/>
          <w:lang w:val="es-CR" w:eastAsia="en-US"/>
          <w14:ligatures w14:val="standardContextual"/>
        </w:rPr>
        <w:t>d</w:t>
      </w:r>
      <w:r w:rsidRPr="00223F95">
        <w:rPr>
          <w:rFonts w:eastAsia="Aptos"/>
          <w:kern w:val="2"/>
          <w:sz w:val="28"/>
          <w:szCs w:val="28"/>
          <w:lang w:val="es-CR" w:eastAsia="en-US"/>
          <w14:ligatures w14:val="standardContextual"/>
        </w:rPr>
        <w:t xml:space="preserve">irección de la Secretaría del Directorio, la Presidencia de la Asamblea Legislativa deberá anunciar en la sesión ordinaria siguiente la fecha en la que se procederá a dar lectura a las recomendaciones y conclusiones del informe rendido por la Comisión Especial.  </w:t>
      </w:r>
      <w:r w:rsidR="001E2B02">
        <w:rPr>
          <w:rFonts w:eastAsia="Aptos"/>
          <w:kern w:val="2"/>
          <w:sz w:val="28"/>
          <w:szCs w:val="28"/>
          <w:lang w:val="es-CR" w:eastAsia="en-US"/>
          <w14:ligatures w14:val="standardContextual"/>
        </w:rPr>
        <w:t>Para esa sesión</w:t>
      </w:r>
      <w:r w:rsidR="00A948CC">
        <w:rPr>
          <w:rFonts w:eastAsia="Aptos"/>
          <w:kern w:val="2"/>
          <w:sz w:val="28"/>
          <w:szCs w:val="28"/>
          <w:lang w:val="es-CR" w:eastAsia="en-US"/>
          <w14:ligatures w14:val="standardContextual"/>
        </w:rPr>
        <w:t>,</w:t>
      </w:r>
      <w:r w:rsidR="001E2B02">
        <w:rPr>
          <w:rFonts w:eastAsia="Aptos"/>
          <w:kern w:val="2"/>
          <w:sz w:val="28"/>
          <w:szCs w:val="28"/>
          <w:lang w:val="es-CR" w:eastAsia="en-US"/>
          <w14:ligatures w14:val="standardContextual"/>
        </w:rPr>
        <w:t xml:space="preserve"> se tendrá por suspendido </w:t>
      </w:r>
      <w:r w:rsidRPr="00223F95">
        <w:rPr>
          <w:rFonts w:eastAsia="Aptos"/>
          <w:kern w:val="2"/>
          <w:sz w:val="28"/>
          <w:szCs w:val="28"/>
          <w:lang w:val="es-CR" w:eastAsia="en-US"/>
          <w14:ligatures w14:val="standardContextual"/>
        </w:rPr>
        <w:t xml:space="preserve">el espacio de control político.  El acto de la lectura se </w:t>
      </w:r>
      <w:r w:rsidRPr="00223F95">
        <w:rPr>
          <w:rFonts w:eastAsia="Aptos"/>
          <w:kern w:val="2"/>
          <w:sz w:val="28"/>
          <w:szCs w:val="28"/>
          <w:lang w:val="es-CR" w:eastAsia="en-US"/>
          <w14:ligatures w14:val="standardContextual"/>
        </w:rPr>
        <w:lastRenderedPageBreak/>
        <w:t xml:space="preserve">hará en presencia </w:t>
      </w:r>
      <w:r w:rsidR="007034DE" w:rsidRPr="00223F95">
        <w:rPr>
          <w:rFonts w:eastAsia="Aptos"/>
          <w:kern w:val="2"/>
          <w:sz w:val="28"/>
          <w:szCs w:val="28"/>
          <w:lang w:val="es-CR" w:eastAsia="en-US"/>
          <w14:ligatures w14:val="standardContextual"/>
        </w:rPr>
        <w:t>de la persona denunciada</w:t>
      </w:r>
      <w:r w:rsidRPr="00223F95">
        <w:rPr>
          <w:rFonts w:eastAsia="Aptos"/>
          <w:kern w:val="2"/>
          <w:sz w:val="28"/>
          <w:szCs w:val="28"/>
          <w:lang w:val="es-CR" w:eastAsia="en-US"/>
          <w14:ligatures w14:val="standardContextual"/>
        </w:rPr>
        <w:t xml:space="preserve"> invitad</w:t>
      </w:r>
      <w:r w:rsidR="007034DE" w:rsidRPr="00223F95">
        <w:rPr>
          <w:rFonts w:eastAsia="Aptos"/>
          <w:kern w:val="2"/>
          <w:sz w:val="28"/>
          <w:szCs w:val="28"/>
          <w:lang w:val="es-CR" w:eastAsia="en-US"/>
          <w14:ligatures w14:val="standardContextual"/>
        </w:rPr>
        <w:t>a</w:t>
      </w:r>
      <w:r w:rsidRPr="00223F95">
        <w:rPr>
          <w:rFonts w:eastAsia="Aptos"/>
          <w:kern w:val="2"/>
          <w:sz w:val="28"/>
          <w:szCs w:val="28"/>
          <w:lang w:val="es-CR" w:eastAsia="en-US"/>
          <w14:ligatures w14:val="standardContextual"/>
        </w:rPr>
        <w:t xml:space="preserve"> al efecto</w:t>
      </w:r>
      <w:r w:rsidR="00E45B92">
        <w:rPr>
          <w:rFonts w:eastAsia="Aptos"/>
          <w:kern w:val="2"/>
          <w:sz w:val="28"/>
          <w:szCs w:val="28"/>
          <w:lang w:val="es-CR" w:eastAsia="en-US"/>
          <w14:ligatures w14:val="standardContextual"/>
        </w:rPr>
        <w:t>,</w:t>
      </w:r>
      <w:r w:rsidRPr="00223F95">
        <w:rPr>
          <w:rFonts w:eastAsia="Aptos"/>
          <w:kern w:val="2"/>
          <w:sz w:val="28"/>
          <w:szCs w:val="28"/>
          <w:lang w:val="es-CR" w:eastAsia="en-US"/>
          <w14:ligatures w14:val="standardContextual"/>
        </w:rPr>
        <w:t xml:space="preserve"> </w:t>
      </w:r>
      <w:r w:rsidR="000B3D7D" w:rsidRPr="00223F95">
        <w:rPr>
          <w:rFonts w:eastAsia="Aptos"/>
          <w:kern w:val="2"/>
          <w:sz w:val="28"/>
          <w:szCs w:val="28"/>
          <w:lang w:val="es-CR" w:eastAsia="en-US"/>
          <w14:ligatures w14:val="standardContextual"/>
        </w:rPr>
        <w:t>en caso de que</w:t>
      </w:r>
      <w:r w:rsidRPr="00223F95">
        <w:rPr>
          <w:rFonts w:eastAsia="Aptos"/>
          <w:kern w:val="2"/>
          <w:sz w:val="28"/>
          <w:szCs w:val="28"/>
          <w:lang w:val="es-CR" w:eastAsia="en-US"/>
          <w14:ligatures w14:val="standardContextual"/>
        </w:rPr>
        <w:t xml:space="preserve"> asista a la sesión.</w:t>
      </w:r>
    </w:p>
    <w:p w14:paraId="309DE97C" w14:textId="77777777" w:rsidR="002319E4" w:rsidRPr="00223F95" w:rsidRDefault="002319E4" w:rsidP="002319E4">
      <w:pPr>
        <w:rPr>
          <w:rFonts w:eastAsia="Aptos"/>
          <w:kern w:val="2"/>
          <w:sz w:val="28"/>
          <w:szCs w:val="28"/>
          <w:lang w:val="es-CR" w:eastAsia="en-US"/>
          <w14:ligatures w14:val="standardContextual"/>
        </w:rPr>
      </w:pPr>
    </w:p>
    <w:p w14:paraId="7A594FDA" w14:textId="7448D822" w:rsidR="000B3D7D" w:rsidRPr="00223F95" w:rsidRDefault="002319E4" w:rsidP="002319E4">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t>1</w:t>
      </w:r>
      <w:r w:rsidR="00917DC4">
        <w:rPr>
          <w:rFonts w:eastAsia="Aptos"/>
          <w:kern w:val="2"/>
          <w:sz w:val="28"/>
          <w:szCs w:val="28"/>
          <w:lang w:val="es-CR" w:eastAsia="en-US"/>
          <w14:ligatures w14:val="standardContextual"/>
        </w:rPr>
        <w:t>4</w:t>
      </w:r>
      <w:r w:rsidRPr="00223F95">
        <w:rPr>
          <w:rFonts w:eastAsia="Aptos"/>
          <w:kern w:val="2"/>
          <w:sz w:val="28"/>
          <w:szCs w:val="28"/>
          <w:lang w:val="es-CR" w:eastAsia="en-US"/>
          <w14:ligatures w14:val="standardContextual"/>
        </w:rPr>
        <w:t xml:space="preserve">. </w:t>
      </w:r>
      <w:r w:rsidR="000B3D7D" w:rsidRPr="00223F95">
        <w:rPr>
          <w:rFonts w:eastAsia="Aptos"/>
          <w:kern w:val="2"/>
          <w:sz w:val="28"/>
          <w:szCs w:val="28"/>
          <w:lang w:val="es-CR" w:eastAsia="en-US"/>
          <w14:ligatures w14:val="standardContextual"/>
        </w:rPr>
        <w:t xml:space="preserve">Concluida la lectura, </w:t>
      </w:r>
      <w:r w:rsidR="000B3D7D" w:rsidRPr="00223F95">
        <w:rPr>
          <w:rFonts w:eastAsia="Aptos" w:cs="Arial"/>
          <w:kern w:val="2"/>
          <w:sz w:val="28"/>
          <w:szCs w:val="28"/>
          <w:lang w:val="es-MX" w:eastAsia="en-US"/>
          <w14:ligatures w14:val="standardContextual"/>
        </w:rPr>
        <w:t>las diputaciones que conforman la comisión especial tendrán un espacio de hasta 15 minutos para explicar el informe o los informes rendidos. Tiempo que podrá ser divido entre quienes suscriben los mismos.</w:t>
      </w:r>
    </w:p>
    <w:p w14:paraId="3302DB51" w14:textId="77777777" w:rsidR="000B3D7D" w:rsidRPr="00223F95" w:rsidRDefault="000B3D7D" w:rsidP="002319E4">
      <w:pPr>
        <w:rPr>
          <w:rFonts w:eastAsia="Aptos"/>
          <w:kern w:val="2"/>
          <w:sz w:val="28"/>
          <w:szCs w:val="28"/>
          <w:lang w:val="es-CR" w:eastAsia="en-US"/>
          <w14:ligatures w14:val="standardContextual"/>
        </w:rPr>
      </w:pPr>
    </w:p>
    <w:p w14:paraId="3512F4B7" w14:textId="5CEE6955" w:rsidR="002319E4" w:rsidRPr="00223F95" w:rsidRDefault="000B3D7D" w:rsidP="002319E4">
      <w:pPr>
        <w:rPr>
          <w:rFonts w:eastAsia="Aptos"/>
          <w:kern w:val="2"/>
          <w:sz w:val="28"/>
          <w:szCs w:val="28"/>
          <w:lang w:val="es-CR" w:eastAsia="en-US"/>
          <w14:ligatures w14:val="standardContextual"/>
        </w:rPr>
      </w:pPr>
      <w:r w:rsidRPr="00223F95">
        <w:rPr>
          <w:rFonts w:eastAsia="Aptos"/>
          <w:kern w:val="2"/>
          <w:sz w:val="28"/>
          <w:szCs w:val="28"/>
          <w:lang w:val="es-CR" w:eastAsia="en-US"/>
          <w14:ligatures w14:val="standardContextual"/>
        </w:rPr>
        <w:t>1</w:t>
      </w:r>
      <w:r w:rsidR="00917DC4">
        <w:rPr>
          <w:rFonts w:eastAsia="Aptos"/>
          <w:kern w:val="2"/>
          <w:sz w:val="28"/>
          <w:szCs w:val="28"/>
          <w:lang w:val="es-CR" w:eastAsia="en-US"/>
          <w14:ligatures w14:val="standardContextual"/>
        </w:rPr>
        <w:t>5</w:t>
      </w:r>
      <w:r w:rsidRPr="00223F95">
        <w:rPr>
          <w:rFonts w:eastAsia="Aptos"/>
          <w:kern w:val="2"/>
          <w:sz w:val="28"/>
          <w:szCs w:val="28"/>
          <w:lang w:val="es-CR" w:eastAsia="en-US"/>
          <w14:ligatures w14:val="standardContextual"/>
        </w:rPr>
        <w:t xml:space="preserve">. </w:t>
      </w:r>
      <w:r w:rsidR="002319E4" w:rsidRPr="00223F95">
        <w:rPr>
          <w:rFonts w:eastAsia="Aptos"/>
          <w:kern w:val="2"/>
          <w:sz w:val="28"/>
          <w:szCs w:val="28"/>
          <w:lang w:val="es-CR" w:eastAsia="en-US"/>
          <w14:ligatures w14:val="standardContextual"/>
        </w:rPr>
        <w:t>El informe de la Comisión Especial deberá hacerse constar en forma integral en el acta de la sesión del Plenario legislativo respectivo.</w:t>
      </w:r>
    </w:p>
    <w:p w14:paraId="3D51207C" w14:textId="77777777" w:rsidR="007034DE" w:rsidRPr="00223F95" w:rsidRDefault="007034DE" w:rsidP="002319E4">
      <w:pPr>
        <w:rPr>
          <w:rFonts w:eastAsia="Aptos"/>
          <w:kern w:val="2"/>
          <w:sz w:val="28"/>
          <w:szCs w:val="28"/>
          <w:lang w:val="es-CR" w:eastAsia="en-US"/>
          <w14:ligatures w14:val="standardContextual"/>
        </w:rPr>
      </w:pPr>
    </w:p>
    <w:p w14:paraId="3342F2F0" w14:textId="12676844" w:rsidR="002319E4" w:rsidRPr="00223F95" w:rsidRDefault="002319E4" w:rsidP="002319E4">
      <w:pPr>
        <w:rPr>
          <w:rFonts w:eastAsia="Aptos" w:cs="Arial"/>
          <w:kern w:val="2"/>
          <w:sz w:val="28"/>
          <w:szCs w:val="28"/>
          <w:lang w:val="es-MX" w:eastAsia="en-US"/>
          <w14:ligatures w14:val="standardContextual"/>
        </w:rPr>
      </w:pPr>
      <w:r w:rsidRPr="00223F95">
        <w:rPr>
          <w:rFonts w:eastAsia="Aptos"/>
          <w:kern w:val="2"/>
          <w:sz w:val="28"/>
          <w:szCs w:val="28"/>
          <w:lang w:val="es-CR" w:eastAsia="en-US"/>
          <w14:ligatures w14:val="standardContextual"/>
        </w:rPr>
        <w:t>1</w:t>
      </w:r>
      <w:r w:rsidR="00917DC4">
        <w:rPr>
          <w:rFonts w:eastAsia="Aptos"/>
          <w:kern w:val="2"/>
          <w:sz w:val="28"/>
          <w:szCs w:val="28"/>
          <w:lang w:val="es-CR" w:eastAsia="en-US"/>
          <w14:ligatures w14:val="standardContextual"/>
        </w:rPr>
        <w:t>6</w:t>
      </w:r>
      <w:r w:rsidRPr="00223F95">
        <w:rPr>
          <w:rFonts w:eastAsia="Aptos"/>
          <w:kern w:val="2"/>
          <w:sz w:val="28"/>
          <w:szCs w:val="28"/>
          <w:lang w:val="es-CR" w:eastAsia="en-US"/>
          <w14:ligatures w14:val="standardContextual"/>
        </w:rPr>
        <w:t>.  La discusión y la votación del informe de la Comisión Especial se debe realizar en la misma sesión</w:t>
      </w:r>
      <w:r w:rsidR="00E45B92">
        <w:rPr>
          <w:rFonts w:eastAsia="Aptos"/>
          <w:kern w:val="2"/>
          <w:sz w:val="28"/>
          <w:szCs w:val="28"/>
          <w:lang w:val="es-CR" w:eastAsia="en-US"/>
          <w14:ligatures w14:val="standardContextual"/>
        </w:rPr>
        <w:t xml:space="preserve"> en que se </w:t>
      </w:r>
      <w:r w:rsidRPr="00223F95">
        <w:rPr>
          <w:rFonts w:eastAsia="Aptos"/>
          <w:kern w:val="2"/>
          <w:sz w:val="28"/>
          <w:szCs w:val="28"/>
          <w:lang w:val="es-CR" w:eastAsia="en-US"/>
          <w14:ligatures w14:val="standardContextual"/>
        </w:rPr>
        <w:t>inicie su discusión</w:t>
      </w:r>
      <w:r w:rsidR="00E45B92">
        <w:rPr>
          <w:rFonts w:eastAsia="Aptos"/>
          <w:kern w:val="2"/>
          <w:sz w:val="28"/>
          <w:szCs w:val="28"/>
          <w:lang w:val="es-CR" w:eastAsia="en-US"/>
          <w14:ligatures w14:val="standardContextual"/>
        </w:rPr>
        <w:t>. P</w:t>
      </w:r>
      <w:r w:rsidRPr="00223F95">
        <w:rPr>
          <w:rFonts w:eastAsia="Aptos"/>
          <w:kern w:val="2"/>
          <w:sz w:val="28"/>
          <w:szCs w:val="28"/>
          <w:lang w:val="es-CR" w:eastAsia="en-US"/>
          <w14:ligatures w14:val="standardContextual"/>
        </w:rPr>
        <w:t xml:space="preserve">ara ello, se tendrá por ampliado el lapso establecido en el párrafo segundo del artículo 35 </w:t>
      </w:r>
      <w:r w:rsidRPr="00223F95">
        <w:rPr>
          <w:rFonts w:eastAsia="Aptos" w:cs="Arial"/>
          <w:kern w:val="2"/>
          <w:sz w:val="28"/>
          <w:szCs w:val="28"/>
          <w:lang w:val="es-MX" w:eastAsia="en-US"/>
          <w14:ligatures w14:val="standardContextual"/>
        </w:rPr>
        <w:t>del Reglamento de la Asamblea Legislativa, hasta su votación definitiva. La votación se realizará a través del sistema electrónico.</w:t>
      </w:r>
      <w:r w:rsidR="00BA6FDF" w:rsidRPr="00223F95">
        <w:rPr>
          <w:rFonts w:eastAsia="Aptos"/>
          <w:kern w:val="2"/>
          <w:sz w:val="28"/>
          <w:szCs w:val="28"/>
          <w:lang w:val="es-CR" w:eastAsia="en-US"/>
          <w14:ligatures w14:val="standardContextual"/>
        </w:rPr>
        <w:t xml:space="preserve"> </w:t>
      </w:r>
    </w:p>
    <w:p w14:paraId="05E192F0" w14:textId="77777777" w:rsidR="007034DE" w:rsidRPr="00223F95" w:rsidRDefault="007034DE" w:rsidP="002319E4">
      <w:pPr>
        <w:rPr>
          <w:rFonts w:eastAsia="Aptos" w:cs="Arial"/>
          <w:kern w:val="2"/>
          <w:sz w:val="28"/>
          <w:szCs w:val="28"/>
          <w:lang w:val="es-MX" w:eastAsia="en-US"/>
          <w14:ligatures w14:val="standardContextual"/>
        </w:rPr>
      </w:pPr>
    </w:p>
    <w:p w14:paraId="2A6EAE97" w14:textId="3EE6E7D6" w:rsidR="002319E4" w:rsidRPr="00223F95" w:rsidRDefault="002319E4" w:rsidP="002319E4">
      <w:pPr>
        <w:spacing w:line="0" w:lineRule="atLeast"/>
        <w:rPr>
          <w:rFonts w:eastAsia="Aptos" w:cs="Arial"/>
          <w:kern w:val="2"/>
          <w:sz w:val="28"/>
          <w:szCs w:val="28"/>
          <w:lang w:val="es-MX" w:eastAsia="en-US"/>
          <w14:ligatures w14:val="standardContextual"/>
        </w:rPr>
      </w:pPr>
      <w:r w:rsidRPr="00223F95">
        <w:rPr>
          <w:rFonts w:eastAsia="Aptos" w:cs="Arial"/>
          <w:kern w:val="2"/>
          <w:sz w:val="28"/>
          <w:szCs w:val="28"/>
          <w:lang w:val="es-MX" w:eastAsia="en-US"/>
          <w14:ligatures w14:val="standardContextual"/>
        </w:rPr>
        <w:t>1</w:t>
      </w:r>
      <w:r w:rsidR="00917DC4">
        <w:rPr>
          <w:rFonts w:eastAsia="Aptos" w:cs="Arial"/>
          <w:kern w:val="2"/>
          <w:sz w:val="28"/>
          <w:szCs w:val="28"/>
          <w:lang w:val="es-MX" w:eastAsia="en-US"/>
          <w14:ligatures w14:val="standardContextual"/>
        </w:rPr>
        <w:t>7</w:t>
      </w:r>
      <w:r w:rsidRPr="00223F95">
        <w:rPr>
          <w:rFonts w:eastAsia="Aptos" w:cs="Arial"/>
          <w:kern w:val="2"/>
          <w:sz w:val="28"/>
          <w:szCs w:val="28"/>
          <w:lang w:val="es-MX" w:eastAsia="en-US"/>
          <w14:ligatures w14:val="standardContextual"/>
        </w:rPr>
        <w:t xml:space="preserve">.- Después de la lectura, si estuviere presente, se concederá la palabra a la persona </w:t>
      </w:r>
      <w:r w:rsidR="00D75649" w:rsidRPr="00223F95">
        <w:rPr>
          <w:rFonts w:eastAsia="Aptos" w:cs="Arial"/>
          <w:kern w:val="2"/>
          <w:sz w:val="28"/>
          <w:szCs w:val="28"/>
          <w:lang w:val="es-MX" w:eastAsia="en-US"/>
          <w14:ligatures w14:val="standardContextual"/>
        </w:rPr>
        <w:t>denunciada</w:t>
      </w:r>
      <w:r w:rsidRPr="00223F95">
        <w:rPr>
          <w:rFonts w:eastAsia="Aptos" w:cs="Arial"/>
          <w:kern w:val="2"/>
          <w:sz w:val="28"/>
          <w:szCs w:val="28"/>
          <w:lang w:val="es-MX" w:eastAsia="en-US"/>
          <w14:ligatures w14:val="standardContextual"/>
        </w:rPr>
        <w:t xml:space="preserve"> para que exponga lo que juzgue conveniente en ejercicio de su derecho de defensa, espacio en el que se le otorgará un tiempo de hasta 30 minutos. Concluido este tiempo, se deberá de retirar del recinto legislativo y acto seguido, la Asamblea Legislativa entrará en un proceso de deliberación. </w:t>
      </w:r>
    </w:p>
    <w:p w14:paraId="4B37A0F2" w14:textId="77777777" w:rsidR="007034DE" w:rsidRPr="00223F95" w:rsidRDefault="007034DE" w:rsidP="002319E4">
      <w:pPr>
        <w:spacing w:line="0" w:lineRule="atLeast"/>
        <w:rPr>
          <w:rFonts w:eastAsia="Aptos" w:cs="Arial"/>
          <w:kern w:val="2"/>
          <w:sz w:val="28"/>
          <w:szCs w:val="28"/>
          <w:lang w:val="es-MX" w:eastAsia="en-US"/>
          <w14:ligatures w14:val="standardContextual"/>
        </w:rPr>
      </w:pPr>
    </w:p>
    <w:p w14:paraId="732CA2AE" w14:textId="58249B35" w:rsidR="002319E4" w:rsidRPr="00223F95" w:rsidRDefault="002319E4" w:rsidP="002319E4">
      <w:pPr>
        <w:spacing w:line="0" w:lineRule="atLeast"/>
        <w:rPr>
          <w:rFonts w:eastAsia="Aptos" w:cs="Arial"/>
          <w:kern w:val="2"/>
          <w:sz w:val="28"/>
          <w:szCs w:val="28"/>
          <w:lang w:val="es-MX" w:eastAsia="en-US"/>
          <w14:ligatures w14:val="standardContextual"/>
        </w:rPr>
      </w:pPr>
      <w:r w:rsidRPr="00223F95">
        <w:rPr>
          <w:rFonts w:eastAsia="Aptos" w:cs="Arial"/>
          <w:kern w:val="2"/>
          <w:sz w:val="28"/>
          <w:szCs w:val="28"/>
          <w:lang w:val="es-MX" w:eastAsia="en-US"/>
          <w14:ligatures w14:val="standardContextual"/>
        </w:rPr>
        <w:t>1</w:t>
      </w:r>
      <w:r w:rsidR="00917DC4">
        <w:rPr>
          <w:rFonts w:eastAsia="Aptos" w:cs="Arial"/>
          <w:kern w:val="2"/>
          <w:sz w:val="28"/>
          <w:szCs w:val="28"/>
          <w:lang w:val="es-MX" w:eastAsia="en-US"/>
          <w14:ligatures w14:val="standardContextual"/>
        </w:rPr>
        <w:t>8</w:t>
      </w:r>
      <w:r w:rsidRPr="00223F95">
        <w:rPr>
          <w:rFonts w:eastAsia="Aptos" w:cs="Arial"/>
          <w:kern w:val="2"/>
          <w:sz w:val="28"/>
          <w:szCs w:val="28"/>
          <w:lang w:val="es-MX" w:eastAsia="en-US"/>
          <w14:ligatures w14:val="standardContextual"/>
        </w:rPr>
        <w:t>.- En la etapa de deliberación cada diputación tendrá un espacio de hasta 15 minutos, para referirse al tema. Por votación de dos tercios del total de sus miembros se puede acordar realizar un debate reglado, conforme al artículo 107 del Reglamento de la Asamblea Legislativa.</w:t>
      </w:r>
    </w:p>
    <w:p w14:paraId="349FDDE5" w14:textId="77777777" w:rsidR="00494CAF" w:rsidRPr="00223F95" w:rsidRDefault="00494CAF" w:rsidP="002319E4">
      <w:pPr>
        <w:spacing w:line="0" w:lineRule="atLeast"/>
        <w:rPr>
          <w:rFonts w:eastAsia="Aptos" w:cs="Arial"/>
          <w:kern w:val="2"/>
          <w:sz w:val="28"/>
          <w:szCs w:val="28"/>
          <w:lang w:val="es-MX" w:eastAsia="en-US"/>
          <w14:ligatures w14:val="standardContextual"/>
        </w:rPr>
      </w:pPr>
    </w:p>
    <w:p w14:paraId="1606C304" w14:textId="6A681FCF" w:rsidR="00FB5D94" w:rsidRPr="00223F95" w:rsidRDefault="00787EC9" w:rsidP="00FB5D94">
      <w:pPr>
        <w:rPr>
          <w:rFonts w:eastAsia="Aptos" w:cs="Arial"/>
          <w:kern w:val="2"/>
          <w:sz w:val="28"/>
          <w:szCs w:val="28"/>
          <w:lang w:val="es-MX" w:eastAsia="en-US"/>
          <w14:ligatures w14:val="standardContextual"/>
        </w:rPr>
      </w:pPr>
      <w:r>
        <w:rPr>
          <w:rFonts w:eastAsia="Aptos" w:cs="Arial"/>
          <w:kern w:val="2"/>
          <w:sz w:val="28"/>
          <w:szCs w:val="28"/>
          <w:lang w:val="es-MX" w:eastAsia="en-US"/>
          <w14:ligatures w14:val="standardContextual"/>
        </w:rPr>
        <w:t>1</w:t>
      </w:r>
      <w:r w:rsidR="00917DC4">
        <w:rPr>
          <w:rFonts w:eastAsia="Aptos" w:cs="Arial"/>
          <w:kern w:val="2"/>
          <w:sz w:val="28"/>
          <w:szCs w:val="28"/>
          <w:lang w:val="es-MX" w:eastAsia="en-US"/>
          <w14:ligatures w14:val="standardContextual"/>
        </w:rPr>
        <w:t>9</w:t>
      </w:r>
      <w:r w:rsidR="002319E4" w:rsidRPr="00223F95">
        <w:rPr>
          <w:rFonts w:eastAsia="Aptos" w:cs="Arial"/>
          <w:kern w:val="2"/>
          <w:sz w:val="28"/>
          <w:szCs w:val="28"/>
          <w:lang w:val="es-MX" w:eastAsia="en-US"/>
          <w14:ligatures w14:val="standardContextual"/>
        </w:rPr>
        <w:t>.- Si no se ha agotado la lista del uso de la palabra faltando cinco minutos para las diecinueve horas, la Presidencia dará por discutido el informe y procederá a su votación de forma inmediata.</w:t>
      </w:r>
      <w:r w:rsidR="00FB5D94" w:rsidRPr="00223F95">
        <w:rPr>
          <w:rFonts w:eastAsia="Aptos"/>
          <w:kern w:val="2"/>
          <w:sz w:val="28"/>
          <w:szCs w:val="28"/>
          <w:lang w:val="es-CR" w:eastAsia="en-US"/>
          <w14:ligatures w14:val="standardContextual"/>
        </w:rPr>
        <w:t xml:space="preserve"> En caso, de que el informe contenga diversas denuncias sobre el mismo funcionario, el proceso de votación se deberá realizar sobre cada una de las denuncias</w:t>
      </w:r>
      <w:r w:rsidR="00EA3FEF" w:rsidRPr="00223F95">
        <w:rPr>
          <w:rFonts w:eastAsia="Aptos"/>
          <w:kern w:val="2"/>
          <w:sz w:val="28"/>
          <w:szCs w:val="28"/>
          <w:lang w:val="es-CR" w:eastAsia="en-US"/>
          <w14:ligatures w14:val="standardContextual"/>
        </w:rPr>
        <w:t xml:space="preserve"> contempladas en el informe.</w:t>
      </w:r>
    </w:p>
    <w:p w14:paraId="328013C6" w14:textId="77777777" w:rsidR="00494CAF" w:rsidRPr="00223F95" w:rsidRDefault="00494CAF" w:rsidP="002319E4">
      <w:pPr>
        <w:spacing w:line="0" w:lineRule="atLeast"/>
        <w:rPr>
          <w:rFonts w:eastAsia="Aptos" w:cs="Arial"/>
          <w:kern w:val="2"/>
          <w:sz w:val="28"/>
          <w:szCs w:val="28"/>
          <w:lang w:val="es-MX" w:eastAsia="en-US"/>
          <w14:ligatures w14:val="standardContextual"/>
        </w:rPr>
      </w:pPr>
    </w:p>
    <w:p w14:paraId="03BD5928" w14:textId="53BF1A32" w:rsidR="002319E4" w:rsidRPr="00223F95" w:rsidRDefault="00917DC4" w:rsidP="002319E4">
      <w:pPr>
        <w:spacing w:line="0" w:lineRule="atLeast"/>
        <w:rPr>
          <w:rFonts w:eastAsia="Aptos" w:cs="Arial"/>
          <w:kern w:val="2"/>
          <w:sz w:val="28"/>
          <w:szCs w:val="28"/>
          <w:lang w:val="es-MX" w:eastAsia="en-US"/>
          <w14:ligatures w14:val="standardContextual"/>
        </w:rPr>
      </w:pPr>
      <w:r>
        <w:rPr>
          <w:rFonts w:eastAsia="Aptos" w:cs="Arial"/>
          <w:kern w:val="2"/>
          <w:sz w:val="28"/>
          <w:szCs w:val="28"/>
          <w:lang w:val="es-MX" w:eastAsia="en-US"/>
          <w14:ligatures w14:val="standardContextual"/>
        </w:rPr>
        <w:t>20</w:t>
      </w:r>
      <w:r w:rsidR="002319E4" w:rsidRPr="00223F95">
        <w:rPr>
          <w:rFonts w:eastAsia="Aptos" w:cs="Arial"/>
          <w:kern w:val="2"/>
          <w:sz w:val="28"/>
          <w:szCs w:val="28"/>
          <w:lang w:val="es-MX" w:eastAsia="en-US"/>
          <w14:ligatures w14:val="standardContextual"/>
        </w:rPr>
        <w:t xml:space="preserve">.- La Asamblea Legislativa requiere para declarar si hay lugar a </w:t>
      </w:r>
      <w:r w:rsidR="00B66566">
        <w:rPr>
          <w:rFonts w:eastAsia="Aptos" w:cs="Arial"/>
          <w:kern w:val="2"/>
          <w:sz w:val="28"/>
          <w:szCs w:val="28"/>
          <w:lang w:val="es-MX" w:eastAsia="en-US"/>
          <w14:ligatures w14:val="standardContextual"/>
        </w:rPr>
        <w:t>mérito suficiente para la apertura del proce</w:t>
      </w:r>
      <w:r w:rsidR="009A35BB">
        <w:rPr>
          <w:rFonts w:eastAsia="Aptos" w:cs="Arial"/>
          <w:kern w:val="2"/>
          <w:sz w:val="28"/>
          <w:szCs w:val="28"/>
          <w:lang w:val="es-MX" w:eastAsia="en-US"/>
          <w14:ligatures w14:val="standardContextual"/>
        </w:rPr>
        <w:t>so</w:t>
      </w:r>
      <w:r w:rsidR="002319E4" w:rsidRPr="00223F95">
        <w:rPr>
          <w:rFonts w:eastAsia="Aptos" w:cs="Arial"/>
          <w:kern w:val="2"/>
          <w:sz w:val="28"/>
          <w:szCs w:val="28"/>
          <w:lang w:val="es-MX" w:eastAsia="en-US"/>
          <w14:ligatures w14:val="standardContextual"/>
        </w:rPr>
        <w:t xml:space="preserve"> contra la persona </w:t>
      </w:r>
      <w:r w:rsidR="006A6744" w:rsidRPr="00223F95">
        <w:rPr>
          <w:rFonts w:eastAsia="Aptos" w:cs="Arial"/>
          <w:kern w:val="2"/>
          <w:sz w:val="28"/>
          <w:szCs w:val="28"/>
          <w:lang w:val="es-MX" w:eastAsia="en-US"/>
          <w14:ligatures w14:val="standardContextual"/>
        </w:rPr>
        <w:t>denunciada</w:t>
      </w:r>
      <w:r w:rsidR="002319E4" w:rsidRPr="00223F95">
        <w:rPr>
          <w:rFonts w:eastAsia="Aptos" w:cs="Arial"/>
          <w:kern w:val="2"/>
          <w:sz w:val="28"/>
          <w:szCs w:val="28"/>
          <w:lang w:val="es-MX" w:eastAsia="en-US"/>
          <w14:ligatures w14:val="standardContextual"/>
        </w:rPr>
        <w:t xml:space="preserve"> </w:t>
      </w:r>
      <w:r w:rsidR="002319E4" w:rsidRPr="00223F95">
        <w:rPr>
          <w:rFonts w:eastAsia="Aptos" w:cs="Arial"/>
          <w:kern w:val="2"/>
          <w:sz w:val="28"/>
          <w:szCs w:val="28"/>
          <w:lang w:val="es-MX" w:eastAsia="en-US"/>
          <w14:ligatures w14:val="standardContextual"/>
        </w:rPr>
        <w:lastRenderedPageBreak/>
        <w:t xml:space="preserve">miembro de los Supremos Poderes, una votación de dos tercios de votos del total de sus miembros. </w:t>
      </w:r>
    </w:p>
    <w:p w14:paraId="2A2D1C09" w14:textId="77777777" w:rsidR="00494CAF" w:rsidRPr="00223F95" w:rsidRDefault="00494CAF" w:rsidP="002319E4">
      <w:pPr>
        <w:spacing w:line="0" w:lineRule="atLeast"/>
        <w:rPr>
          <w:rFonts w:eastAsia="Aptos" w:cs="Arial"/>
          <w:kern w:val="2"/>
          <w:sz w:val="28"/>
          <w:szCs w:val="28"/>
          <w:lang w:val="es-MX" w:eastAsia="en-US"/>
          <w14:ligatures w14:val="standardContextual"/>
        </w:rPr>
      </w:pPr>
    </w:p>
    <w:p w14:paraId="12120908" w14:textId="2115F6BA" w:rsidR="002319E4" w:rsidRPr="00223F95" w:rsidRDefault="002319E4" w:rsidP="002319E4">
      <w:pPr>
        <w:spacing w:line="0" w:lineRule="atLeast"/>
        <w:rPr>
          <w:rFonts w:eastAsia="Aptos" w:cs="Arial"/>
          <w:kern w:val="2"/>
          <w:sz w:val="28"/>
          <w:szCs w:val="28"/>
          <w:lang w:val="es-MX" w:eastAsia="en-US"/>
          <w14:ligatures w14:val="standardContextual"/>
        </w:rPr>
      </w:pPr>
      <w:r w:rsidRPr="00223F95">
        <w:rPr>
          <w:rFonts w:eastAsia="Aptos" w:cs="Arial"/>
          <w:kern w:val="2"/>
          <w:sz w:val="28"/>
          <w:szCs w:val="28"/>
          <w:lang w:val="es-MX" w:eastAsia="en-US"/>
          <w14:ligatures w14:val="standardContextual"/>
        </w:rPr>
        <w:t>2</w:t>
      </w:r>
      <w:r w:rsidR="00917DC4">
        <w:rPr>
          <w:rFonts w:eastAsia="Aptos" w:cs="Arial"/>
          <w:kern w:val="2"/>
          <w:sz w:val="28"/>
          <w:szCs w:val="28"/>
          <w:lang w:val="es-MX" w:eastAsia="en-US"/>
          <w14:ligatures w14:val="standardContextual"/>
        </w:rPr>
        <w:t>1</w:t>
      </w:r>
      <w:r w:rsidRPr="00223F95">
        <w:rPr>
          <w:rFonts w:eastAsia="Aptos" w:cs="Arial"/>
          <w:kern w:val="2"/>
          <w:sz w:val="28"/>
          <w:szCs w:val="28"/>
          <w:lang w:val="es-MX" w:eastAsia="en-US"/>
          <w14:ligatures w14:val="standardContextual"/>
        </w:rPr>
        <w:t>.-En caso de aprobarse el informe rendido que concluye que si hay formación de causa contra el funcionario</w:t>
      </w:r>
      <w:r w:rsidR="00494CAF" w:rsidRPr="00223F95">
        <w:rPr>
          <w:rFonts w:eastAsia="Aptos" w:cs="Arial"/>
          <w:kern w:val="2"/>
          <w:sz w:val="28"/>
          <w:szCs w:val="28"/>
          <w:lang w:val="es-MX" w:eastAsia="en-US"/>
          <w14:ligatures w14:val="standardContextual"/>
        </w:rPr>
        <w:t xml:space="preserve"> denunciado</w:t>
      </w:r>
      <w:r w:rsidRPr="00223F95">
        <w:rPr>
          <w:rFonts w:eastAsia="Aptos" w:cs="Arial"/>
          <w:kern w:val="2"/>
          <w:sz w:val="28"/>
          <w:szCs w:val="28"/>
          <w:lang w:val="es-MX" w:eastAsia="en-US"/>
          <w14:ligatures w14:val="standardContextual"/>
        </w:rPr>
        <w:t xml:space="preserve"> se procederá a realizar la </w:t>
      </w:r>
      <w:r w:rsidR="00494CAF" w:rsidRPr="00223F95">
        <w:rPr>
          <w:rFonts w:eastAsia="Aptos" w:cs="Arial"/>
          <w:kern w:val="2"/>
          <w:sz w:val="28"/>
          <w:szCs w:val="28"/>
          <w:lang w:val="es-MX" w:eastAsia="en-US"/>
          <w14:ligatures w14:val="standardContextual"/>
        </w:rPr>
        <w:t>comunicación al Tribunal Supremo de Elecciones</w:t>
      </w:r>
      <w:r w:rsidRPr="00223F95">
        <w:rPr>
          <w:rFonts w:eastAsia="Aptos" w:cs="Arial"/>
          <w:kern w:val="2"/>
          <w:sz w:val="28"/>
          <w:szCs w:val="28"/>
          <w:lang w:val="es-MX" w:eastAsia="en-US"/>
          <w14:ligatures w14:val="standardContextual"/>
        </w:rPr>
        <w:t xml:space="preserve">, para </w:t>
      </w:r>
      <w:r w:rsidR="00494CAF" w:rsidRPr="00223F95">
        <w:rPr>
          <w:rFonts w:eastAsia="Aptos" w:cs="Arial"/>
          <w:kern w:val="2"/>
          <w:sz w:val="28"/>
          <w:szCs w:val="28"/>
          <w:lang w:val="es-MX" w:eastAsia="en-US"/>
          <w14:ligatures w14:val="standardContextual"/>
        </w:rPr>
        <w:t xml:space="preserve">que el proceso continúe su trámite </w:t>
      </w:r>
      <w:r w:rsidRPr="00223F95">
        <w:rPr>
          <w:rFonts w:eastAsia="Aptos" w:cs="Arial"/>
          <w:kern w:val="2"/>
          <w:sz w:val="28"/>
          <w:szCs w:val="28"/>
          <w:lang w:val="es-MX" w:eastAsia="en-US"/>
          <w14:ligatures w14:val="standardContextual"/>
        </w:rPr>
        <w:t xml:space="preserve">conforme a derecho. En igual sentido, se procederá a realizar la comunicación si el informe indica que no ha lugar a formación de causa contra el funcionario </w:t>
      </w:r>
      <w:r w:rsidR="00494CAF" w:rsidRPr="00223F95">
        <w:rPr>
          <w:rFonts w:eastAsia="Aptos" w:cs="Arial"/>
          <w:kern w:val="2"/>
          <w:sz w:val="28"/>
          <w:szCs w:val="28"/>
          <w:lang w:val="es-MX" w:eastAsia="en-US"/>
          <w14:ligatures w14:val="standardContextual"/>
        </w:rPr>
        <w:t xml:space="preserve">denunciado </w:t>
      </w:r>
      <w:r w:rsidRPr="00223F95">
        <w:rPr>
          <w:rFonts w:eastAsia="Aptos" w:cs="Arial"/>
          <w:kern w:val="2"/>
          <w:sz w:val="28"/>
          <w:szCs w:val="28"/>
          <w:lang w:val="es-MX" w:eastAsia="en-US"/>
          <w14:ligatures w14:val="standardContextual"/>
        </w:rPr>
        <w:t>es rechazado, por el Plenario legislativo.</w:t>
      </w:r>
    </w:p>
    <w:p w14:paraId="58F145E8" w14:textId="77777777" w:rsidR="002319E4" w:rsidRPr="00223F95" w:rsidRDefault="002319E4" w:rsidP="002319E4">
      <w:pPr>
        <w:spacing w:line="0" w:lineRule="atLeast"/>
        <w:rPr>
          <w:rFonts w:eastAsia="Aptos" w:cs="Arial"/>
          <w:kern w:val="2"/>
          <w:sz w:val="28"/>
          <w:szCs w:val="28"/>
          <w:lang w:val="es-MX" w:eastAsia="en-US"/>
          <w14:ligatures w14:val="standardContextual"/>
        </w:rPr>
      </w:pPr>
    </w:p>
    <w:p w14:paraId="2D231558" w14:textId="77777777" w:rsidR="009364AB" w:rsidRPr="00223F95" w:rsidRDefault="009364AB" w:rsidP="002319E4">
      <w:pPr>
        <w:spacing w:line="0" w:lineRule="atLeast"/>
        <w:rPr>
          <w:rFonts w:eastAsia="Aptos" w:cs="Arial"/>
          <w:kern w:val="2"/>
          <w:sz w:val="28"/>
          <w:szCs w:val="28"/>
          <w:lang w:val="es-MX" w:eastAsia="en-US"/>
          <w14:ligatures w14:val="standardContextual"/>
        </w:rPr>
      </w:pPr>
    </w:p>
    <w:p w14:paraId="3B13B27E" w14:textId="62CE2064" w:rsidR="002319E4" w:rsidRPr="00223F95" w:rsidRDefault="002319E4" w:rsidP="002319E4">
      <w:pPr>
        <w:spacing w:line="0" w:lineRule="atLeast"/>
        <w:rPr>
          <w:rFonts w:eastAsia="Aptos" w:cs="Arial"/>
          <w:kern w:val="2"/>
          <w:sz w:val="28"/>
          <w:szCs w:val="28"/>
          <w:lang w:val="es-MX" w:eastAsia="en-US"/>
          <w14:ligatures w14:val="standardContextual"/>
        </w:rPr>
      </w:pPr>
      <w:r w:rsidRPr="00223F95">
        <w:rPr>
          <w:rFonts w:eastAsia="Aptos" w:cs="Arial"/>
          <w:kern w:val="2"/>
          <w:sz w:val="28"/>
          <w:szCs w:val="28"/>
          <w:lang w:val="es-MX" w:eastAsia="en-US"/>
          <w14:ligatures w14:val="standardContextual"/>
        </w:rPr>
        <w:t xml:space="preserve">San José, dado el día </w:t>
      </w:r>
      <w:r w:rsidR="00261162" w:rsidRPr="00042035">
        <w:rPr>
          <w:rFonts w:eastAsia="Aptos" w:cs="Arial"/>
          <w:kern w:val="2"/>
          <w:sz w:val="28"/>
          <w:szCs w:val="28"/>
          <w:lang w:val="es-MX" w:eastAsia="en-US"/>
          <w14:ligatures w14:val="standardContextual"/>
        </w:rPr>
        <w:t>21</w:t>
      </w:r>
      <w:r w:rsidR="00494CAF" w:rsidRPr="00223F95">
        <w:rPr>
          <w:rFonts w:eastAsia="Aptos" w:cs="Arial"/>
          <w:kern w:val="2"/>
          <w:sz w:val="28"/>
          <w:szCs w:val="28"/>
          <w:lang w:val="es-MX" w:eastAsia="en-US"/>
          <w14:ligatures w14:val="standardContextual"/>
        </w:rPr>
        <w:t xml:space="preserve"> de octubre</w:t>
      </w:r>
      <w:r w:rsidRPr="00223F95">
        <w:rPr>
          <w:rFonts w:eastAsia="Aptos" w:cs="Arial"/>
          <w:kern w:val="2"/>
          <w:sz w:val="28"/>
          <w:szCs w:val="28"/>
          <w:lang w:val="es-MX" w:eastAsia="en-US"/>
          <w14:ligatures w14:val="standardContextual"/>
        </w:rPr>
        <w:t xml:space="preserve"> de 2025.</w:t>
      </w:r>
    </w:p>
    <w:p w14:paraId="1A709911" w14:textId="77777777" w:rsidR="002319E4" w:rsidRPr="00223F95" w:rsidRDefault="002319E4">
      <w:pPr>
        <w:rPr>
          <w:sz w:val="28"/>
          <w:szCs w:val="28"/>
        </w:rPr>
      </w:pPr>
    </w:p>
    <w:sectPr w:rsidR="002319E4" w:rsidRPr="00223F95">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5598" w14:textId="77777777" w:rsidR="009C1AB6" w:rsidRDefault="009C1AB6" w:rsidP="00CD1FFD">
      <w:r>
        <w:separator/>
      </w:r>
    </w:p>
  </w:endnote>
  <w:endnote w:type="continuationSeparator" w:id="0">
    <w:p w14:paraId="7198E8B8" w14:textId="77777777" w:rsidR="009C1AB6" w:rsidRDefault="009C1AB6" w:rsidP="00CD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C192" w14:textId="77777777" w:rsidR="005A211C" w:rsidRDefault="005A21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93680"/>
      <w:docPartObj>
        <w:docPartGallery w:val="Page Numbers (Bottom of Page)"/>
        <w:docPartUnique/>
      </w:docPartObj>
    </w:sdtPr>
    <w:sdtContent>
      <w:p w14:paraId="0B0CF117" w14:textId="5F2B6C39" w:rsidR="00CD1FFD" w:rsidRDefault="00CD1FFD">
        <w:pPr>
          <w:pStyle w:val="Piedepgina"/>
          <w:jc w:val="right"/>
        </w:pPr>
        <w:r>
          <w:fldChar w:fldCharType="begin"/>
        </w:r>
        <w:r>
          <w:instrText>PAGE   \* MERGEFORMAT</w:instrText>
        </w:r>
        <w:r>
          <w:fldChar w:fldCharType="separate"/>
        </w:r>
        <w:r>
          <w:t>2</w:t>
        </w:r>
        <w:r>
          <w:fldChar w:fldCharType="end"/>
        </w:r>
      </w:p>
    </w:sdtContent>
  </w:sdt>
  <w:p w14:paraId="456E150C" w14:textId="77777777" w:rsidR="00CD1FFD" w:rsidRDefault="00CD1F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D001" w14:textId="77777777" w:rsidR="005A211C" w:rsidRDefault="005A21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9C385" w14:textId="77777777" w:rsidR="009C1AB6" w:rsidRDefault="009C1AB6" w:rsidP="00CD1FFD">
      <w:r>
        <w:separator/>
      </w:r>
    </w:p>
  </w:footnote>
  <w:footnote w:type="continuationSeparator" w:id="0">
    <w:p w14:paraId="59352269" w14:textId="77777777" w:rsidR="009C1AB6" w:rsidRDefault="009C1AB6" w:rsidP="00CD1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2DEE6" w14:textId="77777777" w:rsidR="005A211C" w:rsidRDefault="005A211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80CE" w14:textId="3F26514C" w:rsidR="005A211C" w:rsidRDefault="005A211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3FD4" w14:textId="77777777" w:rsidR="005A211C" w:rsidRDefault="005A211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9E4"/>
    <w:rsid w:val="000120F0"/>
    <w:rsid w:val="00042035"/>
    <w:rsid w:val="000606CC"/>
    <w:rsid w:val="000B3D7D"/>
    <w:rsid w:val="000E176C"/>
    <w:rsid w:val="000F63BB"/>
    <w:rsid w:val="000F64C0"/>
    <w:rsid w:val="001073D5"/>
    <w:rsid w:val="00131414"/>
    <w:rsid w:val="0015264B"/>
    <w:rsid w:val="00175D41"/>
    <w:rsid w:val="001A0CD9"/>
    <w:rsid w:val="001A4ED5"/>
    <w:rsid w:val="001B382F"/>
    <w:rsid w:val="001C375E"/>
    <w:rsid w:val="001E2B02"/>
    <w:rsid w:val="001E3EF8"/>
    <w:rsid w:val="001F1F52"/>
    <w:rsid w:val="001F7EA6"/>
    <w:rsid w:val="00223F95"/>
    <w:rsid w:val="002319E4"/>
    <w:rsid w:val="00234B3D"/>
    <w:rsid w:val="00246D73"/>
    <w:rsid w:val="00261162"/>
    <w:rsid w:val="00285CD5"/>
    <w:rsid w:val="00285F98"/>
    <w:rsid w:val="002903CA"/>
    <w:rsid w:val="002B6511"/>
    <w:rsid w:val="002C70EA"/>
    <w:rsid w:val="002D417C"/>
    <w:rsid w:val="002E6A6B"/>
    <w:rsid w:val="003021BB"/>
    <w:rsid w:val="003533EE"/>
    <w:rsid w:val="00371D6E"/>
    <w:rsid w:val="00376702"/>
    <w:rsid w:val="00380993"/>
    <w:rsid w:val="003A2445"/>
    <w:rsid w:val="003B241F"/>
    <w:rsid w:val="00415003"/>
    <w:rsid w:val="00471C40"/>
    <w:rsid w:val="004723F1"/>
    <w:rsid w:val="00477023"/>
    <w:rsid w:val="00487682"/>
    <w:rsid w:val="004900F2"/>
    <w:rsid w:val="00494CAF"/>
    <w:rsid w:val="004E0A3B"/>
    <w:rsid w:val="004F72A5"/>
    <w:rsid w:val="005013B7"/>
    <w:rsid w:val="005063A6"/>
    <w:rsid w:val="00522ACD"/>
    <w:rsid w:val="0053792A"/>
    <w:rsid w:val="005959EC"/>
    <w:rsid w:val="005A211C"/>
    <w:rsid w:val="005C6FC0"/>
    <w:rsid w:val="00601020"/>
    <w:rsid w:val="0060791C"/>
    <w:rsid w:val="00630484"/>
    <w:rsid w:val="00635984"/>
    <w:rsid w:val="006A196C"/>
    <w:rsid w:val="006A27CF"/>
    <w:rsid w:val="006A6744"/>
    <w:rsid w:val="006B1EA3"/>
    <w:rsid w:val="006C709E"/>
    <w:rsid w:val="006D38D0"/>
    <w:rsid w:val="007034DE"/>
    <w:rsid w:val="00745E84"/>
    <w:rsid w:val="007507EC"/>
    <w:rsid w:val="00773C56"/>
    <w:rsid w:val="00787EC9"/>
    <w:rsid w:val="007A3CEA"/>
    <w:rsid w:val="007A7C6E"/>
    <w:rsid w:val="007C1E9F"/>
    <w:rsid w:val="007C2681"/>
    <w:rsid w:val="007D2C02"/>
    <w:rsid w:val="007E151A"/>
    <w:rsid w:val="00810B98"/>
    <w:rsid w:val="00834B3A"/>
    <w:rsid w:val="00850FDD"/>
    <w:rsid w:val="00881D97"/>
    <w:rsid w:val="008B0F33"/>
    <w:rsid w:val="008C08DD"/>
    <w:rsid w:val="008C0CF9"/>
    <w:rsid w:val="008C37C4"/>
    <w:rsid w:val="008C6294"/>
    <w:rsid w:val="008C7225"/>
    <w:rsid w:val="008D23BB"/>
    <w:rsid w:val="008D4F9B"/>
    <w:rsid w:val="008F0EB4"/>
    <w:rsid w:val="00917DC4"/>
    <w:rsid w:val="009364AB"/>
    <w:rsid w:val="00943F09"/>
    <w:rsid w:val="00951B60"/>
    <w:rsid w:val="00955402"/>
    <w:rsid w:val="0096405A"/>
    <w:rsid w:val="00990F5F"/>
    <w:rsid w:val="009A35BB"/>
    <w:rsid w:val="009C1AB6"/>
    <w:rsid w:val="009D52BC"/>
    <w:rsid w:val="009F0B65"/>
    <w:rsid w:val="00A008F5"/>
    <w:rsid w:val="00A02A8F"/>
    <w:rsid w:val="00A04AB3"/>
    <w:rsid w:val="00A31B91"/>
    <w:rsid w:val="00A34830"/>
    <w:rsid w:val="00A948CC"/>
    <w:rsid w:val="00A97BC4"/>
    <w:rsid w:val="00AC10EF"/>
    <w:rsid w:val="00AE6632"/>
    <w:rsid w:val="00B34933"/>
    <w:rsid w:val="00B44942"/>
    <w:rsid w:val="00B4767A"/>
    <w:rsid w:val="00B66566"/>
    <w:rsid w:val="00B67572"/>
    <w:rsid w:val="00B7733D"/>
    <w:rsid w:val="00B90D2E"/>
    <w:rsid w:val="00BA6B87"/>
    <w:rsid w:val="00BA6FDF"/>
    <w:rsid w:val="00BB472D"/>
    <w:rsid w:val="00BC4150"/>
    <w:rsid w:val="00BC439D"/>
    <w:rsid w:val="00BD6703"/>
    <w:rsid w:val="00BF3DC5"/>
    <w:rsid w:val="00C27909"/>
    <w:rsid w:val="00C5432E"/>
    <w:rsid w:val="00C8035C"/>
    <w:rsid w:val="00C8099C"/>
    <w:rsid w:val="00CC7814"/>
    <w:rsid w:val="00CD1FFD"/>
    <w:rsid w:val="00CE6792"/>
    <w:rsid w:val="00D30A41"/>
    <w:rsid w:val="00D43E11"/>
    <w:rsid w:val="00D47272"/>
    <w:rsid w:val="00D7236B"/>
    <w:rsid w:val="00D75649"/>
    <w:rsid w:val="00DE52A9"/>
    <w:rsid w:val="00DF66B2"/>
    <w:rsid w:val="00E04110"/>
    <w:rsid w:val="00E11E07"/>
    <w:rsid w:val="00E179A3"/>
    <w:rsid w:val="00E30907"/>
    <w:rsid w:val="00E45B92"/>
    <w:rsid w:val="00E501C6"/>
    <w:rsid w:val="00E809D2"/>
    <w:rsid w:val="00E81F11"/>
    <w:rsid w:val="00E855A6"/>
    <w:rsid w:val="00EA3FEF"/>
    <w:rsid w:val="00EA747B"/>
    <w:rsid w:val="00EA7655"/>
    <w:rsid w:val="00ED3A78"/>
    <w:rsid w:val="00ED43AE"/>
    <w:rsid w:val="00EE1203"/>
    <w:rsid w:val="00F52E85"/>
    <w:rsid w:val="00F5649F"/>
    <w:rsid w:val="00F618E1"/>
    <w:rsid w:val="00F65E5D"/>
    <w:rsid w:val="00FA67C9"/>
    <w:rsid w:val="00FB5D94"/>
    <w:rsid w:val="00FC4911"/>
    <w:rsid w:val="00FD61C9"/>
    <w:rsid w:val="00FE6445"/>
    <w:rsid w:val="00FF04BE"/>
    <w:rsid w:val="00FF0842"/>
    <w:rsid w:val="00FF2E8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28E37"/>
  <w15:chartTrackingRefBased/>
  <w15:docId w15:val="{8FB027E0-7ED9-4136-B85C-D73D7BB9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E4"/>
    <w:pPr>
      <w:spacing w:after="0" w:line="240" w:lineRule="auto"/>
      <w:jc w:val="both"/>
    </w:pPr>
    <w:rPr>
      <w:rFonts w:ascii="Arial" w:eastAsia="Times New Roman" w:hAnsi="Arial" w:cs="Times New Roman"/>
      <w:kern w:val="0"/>
      <w:lang w:val="es-ES" w:eastAsia="es-ES"/>
      <w14:ligatures w14:val="none"/>
    </w:rPr>
  </w:style>
  <w:style w:type="paragraph" w:styleId="Ttulo1">
    <w:name w:val="heading 1"/>
    <w:basedOn w:val="Normal"/>
    <w:next w:val="Normal"/>
    <w:link w:val="Ttulo1Car"/>
    <w:uiPriority w:val="9"/>
    <w:qFormat/>
    <w:rsid w:val="002319E4"/>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2319E4"/>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2319E4"/>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2319E4"/>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2319E4"/>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2319E4"/>
    <w:pPr>
      <w:keepNext/>
      <w:keepLines/>
      <w:spacing w:before="40" w:line="278" w:lineRule="auto"/>
      <w:jc w:val="left"/>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2319E4"/>
    <w:pPr>
      <w:keepNext/>
      <w:keepLines/>
      <w:spacing w:before="40" w:line="278" w:lineRule="auto"/>
      <w:jc w:val="left"/>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2319E4"/>
    <w:pPr>
      <w:keepNext/>
      <w:keepLines/>
      <w:spacing w:line="278" w:lineRule="auto"/>
      <w:jc w:val="left"/>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2319E4"/>
    <w:pPr>
      <w:keepNext/>
      <w:keepLines/>
      <w:spacing w:line="278" w:lineRule="auto"/>
      <w:jc w:val="left"/>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19E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319E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319E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19E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319E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319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19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19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19E4"/>
    <w:rPr>
      <w:rFonts w:eastAsiaTheme="majorEastAsia" w:cstheme="majorBidi"/>
      <w:color w:val="272727" w:themeColor="text1" w:themeTint="D8"/>
    </w:rPr>
  </w:style>
  <w:style w:type="paragraph" w:styleId="Ttulo">
    <w:name w:val="Title"/>
    <w:basedOn w:val="Normal"/>
    <w:next w:val="Normal"/>
    <w:link w:val="TtuloCar"/>
    <w:uiPriority w:val="10"/>
    <w:qFormat/>
    <w:rsid w:val="002319E4"/>
    <w:pPr>
      <w:spacing w:after="80"/>
      <w:contextualSpacing/>
      <w:jc w:val="left"/>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2319E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19E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2319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319E4"/>
    <w:pPr>
      <w:spacing w:before="160" w:after="160" w:line="278"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2319E4"/>
    <w:rPr>
      <w:i/>
      <w:iCs/>
      <w:color w:val="404040" w:themeColor="text1" w:themeTint="BF"/>
    </w:rPr>
  </w:style>
  <w:style w:type="paragraph" w:styleId="Prrafodelista">
    <w:name w:val="List Paragraph"/>
    <w:basedOn w:val="Normal"/>
    <w:uiPriority w:val="34"/>
    <w:qFormat/>
    <w:rsid w:val="002319E4"/>
    <w:pPr>
      <w:spacing w:after="160" w:line="278" w:lineRule="auto"/>
      <w:ind w:left="720"/>
      <w:contextualSpacing/>
      <w:jc w:val="left"/>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2319E4"/>
    <w:rPr>
      <w:i/>
      <w:iCs/>
      <w:color w:val="0F4761" w:themeColor="accent1" w:themeShade="BF"/>
    </w:rPr>
  </w:style>
  <w:style w:type="paragraph" w:styleId="Citadestacada">
    <w:name w:val="Intense Quote"/>
    <w:basedOn w:val="Normal"/>
    <w:next w:val="Normal"/>
    <w:link w:val="CitadestacadaCar"/>
    <w:uiPriority w:val="30"/>
    <w:qFormat/>
    <w:rsid w:val="002319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2319E4"/>
    <w:rPr>
      <w:i/>
      <w:iCs/>
      <w:color w:val="0F4761" w:themeColor="accent1" w:themeShade="BF"/>
    </w:rPr>
  </w:style>
  <w:style w:type="character" w:styleId="Referenciaintensa">
    <w:name w:val="Intense Reference"/>
    <w:basedOn w:val="Fuentedeprrafopredeter"/>
    <w:uiPriority w:val="32"/>
    <w:qFormat/>
    <w:rsid w:val="002319E4"/>
    <w:rPr>
      <w:b/>
      <w:bCs/>
      <w:smallCaps/>
      <w:color w:val="0F4761" w:themeColor="accent1" w:themeShade="BF"/>
      <w:spacing w:val="5"/>
    </w:rPr>
  </w:style>
  <w:style w:type="paragraph" w:styleId="Encabezado">
    <w:name w:val="header"/>
    <w:basedOn w:val="Normal"/>
    <w:link w:val="EncabezadoCar"/>
    <w:uiPriority w:val="99"/>
    <w:unhideWhenUsed/>
    <w:rsid w:val="00CD1FFD"/>
    <w:pPr>
      <w:tabs>
        <w:tab w:val="center" w:pos="4419"/>
        <w:tab w:val="right" w:pos="8838"/>
      </w:tabs>
    </w:pPr>
  </w:style>
  <w:style w:type="character" w:customStyle="1" w:styleId="EncabezadoCar">
    <w:name w:val="Encabezado Car"/>
    <w:basedOn w:val="Fuentedeprrafopredeter"/>
    <w:link w:val="Encabezado"/>
    <w:uiPriority w:val="99"/>
    <w:rsid w:val="00CD1FFD"/>
    <w:rPr>
      <w:rFonts w:ascii="Arial" w:eastAsia="Times New Roman" w:hAnsi="Arial" w:cs="Times New Roman"/>
      <w:kern w:val="0"/>
      <w:lang w:val="es-ES" w:eastAsia="es-ES"/>
      <w14:ligatures w14:val="none"/>
    </w:rPr>
  </w:style>
  <w:style w:type="paragraph" w:styleId="Piedepgina">
    <w:name w:val="footer"/>
    <w:basedOn w:val="Normal"/>
    <w:link w:val="PiedepginaCar"/>
    <w:uiPriority w:val="99"/>
    <w:unhideWhenUsed/>
    <w:rsid w:val="00CD1FFD"/>
    <w:pPr>
      <w:tabs>
        <w:tab w:val="center" w:pos="4419"/>
        <w:tab w:val="right" w:pos="8838"/>
      </w:tabs>
    </w:pPr>
  </w:style>
  <w:style w:type="character" w:customStyle="1" w:styleId="PiedepginaCar">
    <w:name w:val="Pie de página Car"/>
    <w:basedOn w:val="Fuentedeprrafopredeter"/>
    <w:link w:val="Piedepgina"/>
    <w:uiPriority w:val="99"/>
    <w:rsid w:val="00CD1FFD"/>
    <w:rPr>
      <w:rFonts w:ascii="Arial" w:eastAsia="Times New Roman" w:hAnsi="Arial" w:cs="Times New Roman"/>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528</TotalTime>
  <Pages>7</Pages>
  <Words>2223</Words>
  <Characters>11472</Characters>
  <Application>Microsoft Office Word</Application>
  <DocSecurity>0</DocSecurity>
  <Lines>229</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Munoz Arguello</dc:creator>
  <cp:keywords/>
  <dc:description/>
  <cp:lastModifiedBy>Andrea Munoz Arguello</cp:lastModifiedBy>
  <cp:revision>181</cp:revision>
  <cp:lastPrinted>2025-10-07T20:05:00Z</cp:lastPrinted>
  <dcterms:created xsi:type="dcterms:W3CDTF">2025-10-08T15:47:00Z</dcterms:created>
  <dcterms:modified xsi:type="dcterms:W3CDTF">2025-10-21T20:39:00Z</dcterms:modified>
</cp:coreProperties>
</file>